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E4A6" w14:textId="05FFB030" w:rsidR="0023653E" w:rsidRPr="0093282E" w:rsidRDefault="001D5442" w:rsidP="001D5442">
      <w:pPr>
        <w:jc w:val="center"/>
        <w:rPr>
          <w:rFonts w:ascii="Arial" w:hAnsi="Arial" w:cs="Arial"/>
          <w:b/>
          <w:bCs/>
        </w:rPr>
      </w:pPr>
      <w:r w:rsidRPr="0093282E">
        <w:rPr>
          <w:rFonts w:ascii="Arial" w:hAnsi="Arial" w:cs="Arial"/>
          <w:b/>
          <w:bCs/>
        </w:rPr>
        <w:t>O b r a z l  o ž e n j e</w:t>
      </w:r>
    </w:p>
    <w:p w14:paraId="7ED21989" w14:textId="4E9A9081" w:rsidR="0093282E" w:rsidRDefault="001D5442" w:rsidP="0093282E">
      <w:pPr>
        <w:jc w:val="center"/>
        <w:rPr>
          <w:rFonts w:ascii="Arial" w:hAnsi="Arial" w:cs="Arial"/>
        </w:rPr>
      </w:pPr>
      <w:r w:rsidRPr="0093282E">
        <w:rPr>
          <w:rFonts w:ascii="Arial" w:hAnsi="Arial" w:cs="Arial"/>
        </w:rPr>
        <w:t>uz prijedlog I. Izmjen</w:t>
      </w:r>
      <w:r w:rsidR="007A517D">
        <w:rPr>
          <w:rFonts w:ascii="Arial" w:hAnsi="Arial" w:cs="Arial"/>
        </w:rPr>
        <w:t>e</w:t>
      </w:r>
    </w:p>
    <w:p w14:paraId="585FF189" w14:textId="2B6FE5DD" w:rsidR="001D5442" w:rsidRPr="0093282E" w:rsidRDefault="001D5442" w:rsidP="0093282E">
      <w:pPr>
        <w:jc w:val="center"/>
        <w:rPr>
          <w:rFonts w:ascii="Arial" w:hAnsi="Arial" w:cs="Arial"/>
        </w:rPr>
      </w:pPr>
      <w:r w:rsidRPr="0093282E">
        <w:rPr>
          <w:rFonts w:ascii="Arial" w:hAnsi="Arial" w:cs="Arial"/>
        </w:rPr>
        <w:t>Programa javnih potreba u području socijalne skrbi za Grad Ivanec u 2021. godini</w:t>
      </w:r>
    </w:p>
    <w:p w14:paraId="6E284E7F" w14:textId="052A7113" w:rsidR="001D5442" w:rsidRPr="0093282E" w:rsidRDefault="001D5442" w:rsidP="001D5442">
      <w:pPr>
        <w:jc w:val="center"/>
        <w:rPr>
          <w:rFonts w:ascii="Arial" w:hAnsi="Arial" w:cs="Arial"/>
        </w:rPr>
      </w:pPr>
    </w:p>
    <w:p w14:paraId="3801D152" w14:textId="5DFB5F27" w:rsidR="00C542F1" w:rsidRDefault="001D5442" w:rsidP="001D5442">
      <w:pPr>
        <w:jc w:val="both"/>
        <w:rPr>
          <w:rFonts w:ascii="Arial" w:hAnsi="Arial" w:cs="Arial"/>
        </w:rPr>
      </w:pPr>
      <w:r w:rsidRPr="0093282E">
        <w:rPr>
          <w:rFonts w:ascii="Arial" w:hAnsi="Arial" w:cs="Arial"/>
        </w:rPr>
        <w:t xml:space="preserve">        Predmetnim I. Izmjenama Programa javnih potreba u području socijalne skrbi za Grad Ivanec u 2021. godini planira se povećanje troškova koji se odnose na jednokratne novčane pomoći – pomoć po pojedinačnim zahtjevima</w:t>
      </w:r>
      <w:r w:rsidR="0093282E" w:rsidRPr="0093282E">
        <w:rPr>
          <w:rFonts w:ascii="Arial" w:hAnsi="Arial" w:cs="Arial"/>
        </w:rPr>
        <w:t>,</w:t>
      </w:r>
      <w:r w:rsidR="004A005E" w:rsidRPr="0093282E">
        <w:rPr>
          <w:rFonts w:ascii="Arial" w:hAnsi="Arial" w:cs="Arial"/>
        </w:rPr>
        <w:t xml:space="preserve"> sukladno Zakonu o socijalnoj skrbi („Narodne novine“ br. </w:t>
      </w:r>
      <w:hyperlink r:id="rId4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157/13</w:t>
        </w:r>
      </w:hyperlink>
      <w:r w:rsidR="004A005E" w:rsidRPr="0093282E">
        <w:rPr>
          <w:rFonts w:ascii="Arial" w:hAnsi="Arial" w:cs="Arial"/>
        </w:rPr>
        <w:t xml:space="preserve">, </w:t>
      </w:r>
      <w:hyperlink r:id="rId5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152/14</w:t>
        </w:r>
      </w:hyperlink>
      <w:r w:rsidR="004A005E" w:rsidRPr="0093282E">
        <w:rPr>
          <w:rFonts w:ascii="Arial" w:hAnsi="Arial" w:cs="Arial"/>
        </w:rPr>
        <w:t xml:space="preserve">, </w:t>
      </w:r>
      <w:hyperlink r:id="rId6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99/15</w:t>
        </w:r>
      </w:hyperlink>
      <w:r w:rsidR="004A005E" w:rsidRPr="0093282E">
        <w:rPr>
          <w:rFonts w:ascii="Arial" w:hAnsi="Arial" w:cs="Arial"/>
        </w:rPr>
        <w:t xml:space="preserve">, </w:t>
      </w:r>
      <w:hyperlink r:id="rId7" w:tgtFrame="_blank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52/16</w:t>
        </w:r>
      </w:hyperlink>
      <w:r w:rsidR="004A005E" w:rsidRPr="0093282E">
        <w:rPr>
          <w:rFonts w:ascii="Arial" w:hAnsi="Arial" w:cs="Arial"/>
        </w:rPr>
        <w:t xml:space="preserve">, </w:t>
      </w:r>
      <w:hyperlink r:id="rId8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16/17</w:t>
        </w:r>
      </w:hyperlink>
      <w:r w:rsidR="004A005E" w:rsidRPr="0093282E">
        <w:rPr>
          <w:rFonts w:ascii="Arial" w:hAnsi="Arial" w:cs="Arial"/>
        </w:rPr>
        <w:t xml:space="preserve">, </w:t>
      </w:r>
      <w:hyperlink r:id="rId9" w:tgtFrame="_blank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130/17</w:t>
        </w:r>
      </w:hyperlink>
      <w:r w:rsidR="004A005E" w:rsidRPr="0093282E">
        <w:rPr>
          <w:rFonts w:ascii="Arial" w:hAnsi="Arial" w:cs="Arial"/>
        </w:rPr>
        <w:t xml:space="preserve">, </w:t>
      </w:r>
      <w:hyperlink r:id="rId10" w:tgtFrame="_blank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98/19</w:t>
        </w:r>
      </w:hyperlink>
      <w:r w:rsidR="004A005E" w:rsidRPr="0093282E">
        <w:rPr>
          <w:rFonts w:ascii="Arial" w:hAnsi="Arial" w:cs="Arial"/>
        </w:rPr>
        <w:t xml:space="preserve">, </w:t>
      </w:r>
      <w:hyperlink r:id="rId11" w:tgtFrame="_blank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64/20</w:t>
        </w:r>
      </w:hyperlink>
      <w:r w:rsidR="004A005E" w:rsidRPr="0093282E">
        <w:rPr>
          <w:rFonts w:ascii="Arial" w:hAnsi="Arial" w:cs="Arial"/>
        </w:rPr>
        <w:t xml:space="preserve">, </w:t>
      </w:r>
      <w:hyperlink r:id="rId12" w:tgtFrame="_blank" w:history="1">
        <w:r w:rsidR="004A005E" w:rsidRPr="0093282E">
          <w:rPr>
            <w:rStyle w:val="Hiperveza"/>
            <w:rFonts w:ascii="Arial" w:hAnsi="Arial" w:cs="Arial"/>
            <w:color w:val="auto"/>
            <w:u w:val="none"/>
          </w:rPr>
          <w:t>138/20</w:t>
        </w:r>
      </w:hyperlink>
      <w:r w:rsidR="004A005E" w:rsidRPr="0093282E">
        <w:rPr>
          <w:rFonts w:ascii="Arial" w:hAnsi="Arial" w:cs="Arial"/>
        </w:rPr>
        <w:t>) i Odlu</w:t>
      </w:r>
      <w:r w:rsidR="000C1D2A" w:rsidRPr="0093282E">
        <w:rPr>
          <w:rFonts w:ascii="Arial" w:hAnsi="Arial" w:cs="Arial"/>
        </w:rPr>
        <w:t>ci</w:t>
      </w:r>
      <w:r w:rsidR="004A005E" w:rsidRPr="0093282E">
        <w:rPr>
          <w:rFonts w:ascii="Arial" w:hAnsi="Arial" w:cs="Arial"/>
        </w:rPr>
        <w:t xml:space="preserve"> o socijalnoj skrbi  Grada Ivanca („Službeni vjesnik Varaždinske županije“ br. 18/15, 36/18, 8/20), </w:t>
      </w:r>
      <w:r w:rsidR="00C542F1" w:rsidRPr="0093282E">
        <w:rPr>
          <w:rFonts w:ascii="Arial" w:hAnsi="Arial" w:cs="Arial"/>
        </w:rPr>
        <w:t>prema koj</w:t>
      </w:r>
      <w:r w:rsidR="000C1D2A" w:rsidRPr="0093282E">
        <w:rPr>
          <w:rFonts w:ascii="Arial" w:hAnsi="Arial" w:cs="Arial"/>
        </w:rPr>
        <w:t>em propisu</w:t>
      </w:r>
      <w:r w:rsidR="00C542F1" w:rsidRPr="0093282E">
        <w:rPr>
          <w:rFonts w:ascii="Arial" w:hAnsi="Arial" w:cs="Arial"/>
        </w:rPr>
        <w:t>, odnosno odlu</w:t>
      </w:r>
      <w:r w:rsidR="000C1D2A" w:rsidRPr="0093282E">
        <w:rPr>
          <w:rFonts w:ascii="Arial" w:hAnsi="Arial" w:cs="Arial"/>
        </w:rPr>
        <w:t>ci</w:t>
      </w:r>
      <w:r w:rsidR="00C542F1" w:rsidRPr="0093282E">
        <w:rPr>
          <w:rFonts w:ascii="Arial" w:hAnsi="Arial" w:cs="Arial"/>
        </w:rPr>
        <w:t xml:space="preserve"> je jednokratna novčana pomoć poseban oblik novčane ili materijalne pomoći samcu ili obitelji koji su se našli u položaju trenutačne materijalne ugroženosti iz razloga na koje nisu mogli, odnosno ne mogu utjecat</w:t>
      </w:r>
      <w:r w:rsidR="0093282E" w:rsidRPr="0093282E">
        <w:rPr>
          <w:rFonts w:ascii="Arial" w:hAnsi="Arial" w:cs="Arial"/>
        </w:rPr>
        <w:t>i (s ciljem zaštite života i zdravlja prvenstveno bolesnih osoba)</w:t>
      </w:r>
      <w:r w:rsidR="00C542F1" w:rsidRPr="0093282E">
        <w:rPr>
          <w:rFonts w:ascii="Arial" w:hAnsi="Arial" w:cs="Arial"/>
        </w:rPr>
        <w:t>, te radi toga nisu u mogućnosti podmiriti neke osnovne životne potrebe</w:t>
      </w:r>
      <w:r w:rsidR="0093282E" w:rsidRPr="0093282E">
        <w:rPr>
          <w:rFonts w:ascii="Arial" w:hAnsi="Arial" w:cs="Arial"/>
        </w:rPr>
        <w:t>.</w:t>
      </w:r>
    </w:p>
    <w:p w14:paraId="0F7E47D1" w14:textId="74D22E27" w:rsidR="002F5524" w:rsidRPr="0093282E" w:rsidRDefault="002F5524" w:rsidP="002F5524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Obzirom da su na početku 2021. godine izbili požari na stambenim objektima na području grada Ivanca, odnosno naselja </w:t>
      </w:r>
      <w:proofErr w:type="spellStart"/>
      <w:r>
        <w:rPr>
          <w:rFonts w:ascii="Arial" w:hAnsi="Arial" w:cs="Arial"/>
        </w:rPr>
        <w:t>Pece</w:t>
      </w:r>
      <w:proofErr w:type="spellEnd"/>
      <w:r>
        <w:rPr>
          <w:rFonts w:ascii="Arial" w:hAnsi="Arial" w:cs="Arial"/>
        </w:rPr>
        <w:t>, potrebno je povećati financijska sredstva za novčanu pomoć kako bi se vlasnicima stradalih objekata pomoglo u obnovi kuća nakon požara.</w:t>
      </w:r>
    </w:p>
    <w:tbl>
      <w:tblPr>
        <w:tblpPr w:leftFromText="180" w:rightFromText="180" w:vertAnchor="text" w:horzAnchor="margin" w:tblpY="59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858"/>
        <w:gridCol w:w="1515"/>
        <w:gridCol w:w="1687"/>
      </w:tblGrid>
      <w:tr w:rsidR="00951A86" w:rsidRPr="0093282E" w14:paraId="6267256F" w14:textId="3AB20728" w:rsidTr="00951A86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5BD5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MJERE I OPSEG SOCIJALNE SKRBI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D113" w14:textId="01B1DBBF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PLAN 2021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7F73" w14:textId="1BFAE7CE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Izmjena plana +/-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338" w14:textId="3892FFDD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NOVI PLAN 2021</w:t>
            </w:r>
          </w:p>
        </w:tc>
      </w:tr>
      <w:tr w:rsidR="00951A86" w:rsidRPr="0093282E" w14:paraId="04CDE97B" w14:textId="7AF04570" w:rsidTr="00951A86">
        <w:trPr>
          <w:trHeight w:val="3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0F2F" w14:textId="77777777" w:rsidR="00951A86" w:rsidRPr="0093282E" w:rsidRDefault="00951A86" w:rsidP="00951A86">
            <w:pPr>
              <w:tabs>
                <w:tab w:val="right" w:pos="7655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1. Podmirenje dijela troškova stanovanja sukladno Zakonu o socijalnoj skrbi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3B37" w14:textId="30623C48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45.000,00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F36" w14:textId="039B8256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1AE" w14:textId="0790AEE2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45.000,00</w:t>
            </w:r>
          </w:p>
        </w:tc>
      </w:tr>
      <w:tr w:rsidR="00951A86" w:rsidRPr="0093282E" w14:paraId="6727E358" w14:textId="4672C420" w:rsidTr="00951A86">
        <w:trPr>
          <w:trHeight w:val="19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C5A9" w14:textId="77777777" w:rsidR="00951A86" w:rsidRPr="0093282E" w:rsidRDefault="00951A86" w:rsidP="00951A86">
            <w:pPr>
              <w:tabs>
                <w:tab w:val="left" w:pos="82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2. Pravo na potporu za novorođeno dijete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C427" w14:textId="3938000A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185.000,00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B40" w14:textId="7FE3CF11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977" w14:textId="5491DBBB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185.000,00</w:t>
            </w:r>
          </w:p>
        </w:tc>
      </w:tr>
      <w:tr w:rsidR="00951A86" w:rsidRPr="0093282E" w14:paraId="3A66B6B2" w14:textId="55D57BE7" w:rsidTr="00951A86">
        <w:trPr>
          <w:trHeight w:val="19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92CB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3. Udruge umirovljenika i udruge osoba s invaliditetom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37D6" w14:textId="529DA9FE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91.750,00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829" w14:textId="618BB75C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64E" w14:textId="7AA787A5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91.750,00</w:t>
            </w:r>
          </w:p>
        </w:tc>
      </w:tr>
      <w:tr w:rsidR="00951A86" w:rsidRPr="0093282E" w14:paraId="748B43C6" w14:textId="4C6D72ED" w:rsidTr="00951A86">
        <w:trPr>
          <w:trHeight w:val="27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906D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4. Potpora osobama starije životne dobi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5D32" w14:textId="69E5AEA6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200.000,00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877" w14:textId="48062BBF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9DA" w14:textId="080BC8AB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200.000,00</w:t>
            </w:r>
          </w:p>
        </w:tc>
      </w:tr>
      <w:tr w:rsidR="00951A86" w:rsidRPr="0093282E" w14:paraId="3435DD7D" w14:textId="048CAC2D" w:rsidTr="00951A86">
        <w:trPr>
          <w:trHeight w:val="27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0C20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5. Sufinanciranje nabave ogrjeva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F195" w14:textId="1C00382A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40.000,00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F52" w14:textId="2FC92ABC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4DE" w14:textId="471E082F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40.000,00</w:t>
            </w:r>
          </w:p>
        </w:tc>
      </w:tr>
      <w:tr w:rsidR="00951A86" w:rsidRPr="0093282E" w14:paraId="0419BC20" w14:textId="167FBD2C" w:rsidTr="00951A86">
        <w:trPr>
          <w:trHeight w:val="24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CFF1" w14:textId="77777777" w:rsidR="00951A86" w:rsidRPr="0093282E" w:rsidRDefault="00951A86" w:rsidP="00951A86">
            <w:pPr>
              <w:tabs>
                <w:tab w:val="left" w:pos="83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6. Sufinanciranje maturalnih i đačkih putovanja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079F" w14:textId="33A5952C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5.000,00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C03" w14:textId="53793ACC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044" w14:textId="662CD886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5.000,00</w:t>
            </w:r>
          </w:p>
        </w:tc>
      </w:tr>
      <w:tr w:rsidR="00951A86" w:rsidRPr="0093282E" w14:paraId="4F3C2458" w14:textId="49762BC8" w:rsidTr="00951A86">
        <w:trPr>
          <w:trHeight w:val="23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D178" w14:textId="77777777" w:rsidR="00951A86" w:rsidRPr="0093282E" w:rsidRDefault="00951A86" w:rsidP="00951A86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3282E">
              <w:rPr>
                <w:rFonts w:ascii="Arial" w:eastAsia="Times New Roman" w:hAnsi="Arial" w:cs="Arial"/>
              </w:rPr>
              <w:t xml:space="preserve">7. Pravo na podmirenje troškova usluge pomoći u kući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B21" w14:textId="49A6CA1A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13.725,00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EFF" w14:textId="6CD18F67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1A5" w14:textId="617B8AA2" w:rsidR="00951A86" w:rsidRPr="0093282E" w:rsidRDefault="00951A86" w:rsidP="00951A86">
            <w:pPr>
              <w:spacing w:after="0" w:line="276" w:lineRule="auto"/>
              <w:ind w:left="48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13.725,00</w:t>
            </w:r>
          </w:p>
        </w:tc>
      </w:tr>
      <w:tr w:rsidR="00951A86" w:rsidRPr="0093282E" w14:paraId="429C4701" w14:textId="5566A68D" w:rsidTr="00951A86">
        <w:trPr>
          <w:trHeight w:val="37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174A" w14:textId="77777777" w:rsidR="00951A86" w:rsidRPr="0093282E" w:rsidRDefault="00951A86" w:rsidP="00951A86">
            <w:pPr>
              <w:tabs>
                <w:tab w:val="left" w:pos="142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8. Jednokratne novčane pomoći – pomoć po pojedinačnim zahtjevima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4B1F" w14:textId="26F9F859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  <w:r w:rsidRPr="0093282E">
              <w:rPr>
                <w:rFonts w:ascii="Arial" w:eastAsia="Times New Roman" w:hAnsi="Arial" w:cs="Arial"/>
                <w:lang w:eastAsia="hr-HR"/>
              </w:rPr>
              <w:t>5.000,00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AE9" w14:textId="01A29E47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+ 50.000,00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05E" w14:textId="50B63653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</w:t>
            </w:r>
            <w:r w:rsidRPr="0093282E">
              <w:rPr>
                <w:rFonts w:ascii="Arial" w:eastAsia="Times New Roman" w:hAnsi="Arial" w:cs="Arial"/>
                <w:lang w:eastAsia="hr-HR"/>
              </w:rPr>
              <w:t>5.000,00</w:t>
            </w:r>
          </w:p>
        </w:tc>
      </w:tr>
      <w:tr w:rsidR="00951A86" w:rsidRPr="0093282E" w14:paraId="42C51AA7" w14:textId="30824B7D" w:rsidTr="00951A86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BCAC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9. Pomoć u naravi po pojedinačnim zahtjevima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4A8" w14:textId="22DCF3C3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 30.000,00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DEB" w14:textId="3E7766D1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F1F" w14:textId="31369B9A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   30.000,00</w:t>
            </w:r>
          </w:p>
        </w:tc>
      </w:tr>
      <w:tr w:rsidR="00951A86" w:rsidRPr="0093282E" w14:paraId="49D18A3E" w14:textId="5F2ED164" w:rsidTr="00951A86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5342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 xml:space="preserve">10. Izravna dodjela sredstava udrugama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D59A" w14:textId="7F8AF898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1DA" w14:textId="05B03845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DF5" w14:textId="16FC25EF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</w:tr>
      <w:tr w:rsidR="00951A86" w:rsidRPr="0093282E" w14:paraId="2276A8AC" w14:textId="52A107AB" w:rsidTr="00951A86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4265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11. Pomoć građanima i kućanstvima za odvoz otpada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D64F" w14:textId="0B555A09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45.000,00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8AF" w14:textId="546B6876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8E5" w14:textId="62480422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45.000,00</w:t>
            </w:r>
          </w:p>
        </w:tc>
      </w:tr>
      <w:tr w:rsidR="00951A86" w:rsidRPr="0093282E" w14:paraId="27BF2951" w14:textId="2CB7C0A4" w:rsidTr="00951A86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9524" w14:textId="77777777" w:rsidR="00951A86" w:rsidRPr="0093282E" w:rsidRDefault="00951A86" w:rsidP="00951A8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12. Tekuće donacije Zakladi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6AEF" w14:textId="15FA061F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80.000,00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907" w14:textId="379355F4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6F1" w14:textId="7FD38309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93282E">
              <w:rPr>
                <w:rFonts w:ascii="Arial" w:eastAsia="Times New Roman" w:hAnsi="Arial" w:cs="Arial"/>
                <w:lang w:eastAsia="hr-HR"/>
              </w:rPr>
              <w:t>80.000,00</w:t>
            </w:r>
          </w:p>
        </w:tc>
      </w:tr>
      <w:tr w:rsidR="00951A86" w:rsidRPr="0093282E" w14:paraId="13B1E16A" w14:textId="77777777" w:rsidTr="00951A86">
        <w:trPr>
          <w:trHeight w:val="37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CE7" w14:textId="424ACBFA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EF6" w14:textId="2F14CC9A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770.475,00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36C" w14:textId="22608056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132" w14:textId="4F8BC17B" w:rsidR="00951A86" w:rsidRPr="0093282E" w:rsidRDefault="00951A86" w:rsidP="00951A86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820.475,00</w:t>
            </w:r>
          </w:p>
        </w:tc>
      </w:tr>
    </w:tbl>
    <w:p w14:paraId="6A4D4F09" w14:textId="71CDCC7E" w:rsidR="00C542F1" w:rsidRPr="0093282E" w:rsidRDefault="00C542F1" w:rsidP="001D5442">
      <w:pPr>
        <w:jc w:val="both"/>
        <w:rPr>
          <w:rFonts w:ascii="Arial" w:hAnsi="Arial" w:cs="Arial"/>
        </w:rPr>
      </w:pPr>
      <w:r w:rsidRPr="0093282E">
        <w:rPr>
          <w:rFonts w:ascii="Arial" w:hAnsi="Arial" w:cs="Arial"/>
        </w:rPr>
        <w:t>U nastavku dajemo pregled izmjena u Programu:</w:t>
      </w:r>
    </w:p>
    <w:p w14:paraId="3AD01E14" w14:textId="77777777" w:rsidR="00951A86" w:rsidRDefault="00951A86" w:rsidP="00951A86">
      <w:pPr>
        <w:jc w:val="right"/>
        <w:rPr>
          <w:rFonts w:ascii="Arial" w:hAnsi="Arial" w:cs="Arial"/>
        </w:rPr>
      </w:pPr>
    </w:p>
    <w:p w14:paraId="654C82B3" w14:textId="3F8A61A0" w:rsidR="000C1D2A" w:rsidRPr="0093282E" w:rsidRDefault="000C1D2A" w:rsidP="00951A86">
      <w:pPr>
        <w:jc w:val="right"/>
        <w:rPr>
          <w:rFonts w:ascii="Arial" w:hAnsi="Arial" w:cs="Arial"/>
        </w:rPr>
      </w:pPr>
      <w:r w:rsidRPr="0093282E">
        <w:rPr>
          <w:rFonts w:ascii="Arial" w:hAnsi="Arial" w:cs="Arial"/>
        </w:rPr>
        <w:t>Gradonačelnik</w:t>
      </w:r>
    </w:p>
    <w:p w14:paraId="4690D918" w14:textId="5D1EAEC5" w:rsidR="00C542F1" w:rsidRDefault="000C1D2A" w:rsidP="00951A86">
      <w:pPr>
        <w:jc w:val="right"/>
      </w:pPr>
      <w:r w:rsidRPr="0093282E">
        <w:rPr>
          <w:rFonts w:ascii="Arial" w:hAnsi="Arial" w:cs="Arial"/>
        </w:rPr>
        <w:t>Milorad Batinić</w:t>
      </w:r>
    </w:p>
    <w:sectPr w:rsidR="00C542F1" w:rsidSect="002F552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2"/>
    <w:rsid w:val="000C1D2A"/>
    <w:rsid w:val="001D5442"/>
    <w:rsid w:val="0023653E"/>
    <w:rsid w:val="002F5524"/>
    <w:rsid w:val="004A005E"/>
    <w:rsid w:val="007A517D"/>
    <w:rsid w:val="008A5F8B"/>
    <w:rsid w:val="0093282E"/>
    <w:rsid w:val="00951A86"/>
    <w:rsid w:val="00C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FA79"/>
  <w15:chartTrackingRefBased/>
  <w15:docId w15:val="{6A47BA9C-3836-417E-BD0D-48B486D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44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A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77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6812" TargetMode="External"/><Relationship Id="rId12" Type="http://schemas.openxmlformats.org/officeDocument/2006/relationships/hyperlink" Target="https://www.zakon.hr/cms.htm?id=465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2780" TargetMode="External"/><Relationship Id="rId11" Type="http://schemas.openxmlformats.org/officeDocument/2006/relationships/hyperlink" Target="https://www.zakon.hr/cms.htm?id=44614" TargetMode="External"/><Relationship Id="rId5" Type="http://schemas.openxmlformats.org/officeDocument/2006/relationships/hyperlink" Target="https://www.zakon.hr/cms.htm?id=1677" TargetMode="External"/><Relationship Id="rId10" Type="http://schemas.openxmlformats.org/officeDocument/2006/relationships/hyperlink" Target="https://www.zakon.hr/cms.htm?id=40781" TargetMode="External"/><Relationship Id="rId4" Type="http://schemas.openxmlformats.org/officeDocument/2006/relationships/hyperlink" Target="https://www.zakon.hr/cms.htm?id=1675" TargetMode="External"/><Relationship Id="rId9" Type="http://schemas.openxmlformats.org/officeDocument/2006/relationships/hyperlink" Target="https://www.zakon.hr/cms.htm?id=26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Romanić</dc:creator>
  <cp:keywords/>
  <dc:description/>
  <cp:lastModifiedBy>Irena Romanić</cp:lastModifiedBy>
  <cp:revision>7</cp:revision>
  <cp:lastPrinted>2021-03-04T16:35:00Z</cp:lastPrinted>
  <dcterms:created xsi:type="dcterms:W3CDTF">2021-03-04T06:55:00Z</dcterms:created>
  <dcterms:modified xsi:type="dcterms:W3CDTF">2021-03-04T16:35:00Z</dcterms:modified>
</cp:coreProperties>
</file>