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8C27" w14:textId="77777777" w:rsidR="0001799F" w:rsidRPr="0001799F" w:rsidRDefault="0001799F" w:rsidP="0001799F">
      <w:pPr>
        <w:widowControl w:val="0"/>
        <w:suppressAutoHyphens/>
        <w:ind w:right="6095"/>
        <w:contextualSpacing/>
        <w:rPr>
          <w:rFonts w:eastAsiaTheme="minorEastAsia"/>
          <w:lang w:eastAsia="en-US"/>
        </w:rPr>
      </w:pPr>
      <w:r w:rsidRPr="0001799F">
        <w:rPr>
          <w:rFonts w:eastAsiaTheme="minorEastAsia"/>
          <w:lang w:eastAsia="en-US"/>
        </w:rPr>
        <w:t xml:space="preserve">                  </w:t>
      </w:r>
      <w:r w:rsidRPr="0001799F">
        <w:rPr>
          <w:rFonts w:eastAsiaTheme="minorEastAsia"/>
          <w:noProof/>
        </w:rPr>
        <w:drawing>
          <wp:inline distT="0" distB="0" distL="0" distR="0" wp14:anchorId="7103EFAA" wp14:editId="3F0E4219">
            <wp:extent cx="476250" cy="618289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7" cy="62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8889CF" w14:textId="77777777" w:rsidR="0001799F" w:rsidRPr="0001799F" w:rsidRDefault="0001799F" w:rsidP="0001799F">
      <w:pPr>
        <w:widowControl w:val="0"/>
        <w:suppressAutoHyphens/>
        <w:ind w:right="6095"/>
        <w:contextualSpacing/>
        <w:jc w:val="center"/>
        <w:rPr>
          <w:rFonts w:eastAsiaTheme="minorEastAsia"/>
          <w:lang w:eastAsia="en-US"/>
        </w:rPr>
      </w:pPr>
      <w:r w:rsidRPr="0001799F">
        <w:rPr>
          <w:rFonts w:eastAsiaTheme="minorEastAsia"/>
          <w:lang w:eastAsia="en-US"/>
        </w:rPr>
        <w:t>REPUBLIKA HRVATSKA</w:t>
      </w:r>
    </w:p>
    <w:p w14:paraId="5B1BBBA4" w14:textId="77777777" w:rsidR="0001799F" w:rsidRPr="0001799F" w:rsidRDefault="0001799F" w:rsidP="0001799F">
      <w:pPr>
        <w:widowControl w:val="0"/>
        <w:suppressAutoHyphens/>
        <w:ind w:right="6095"/>
        <w:contextualSpacing/>
        <w:jc w:val="center"/>
        <w:rPr>
          <w:rFonts w:eastAsiaTheme="minorEastAsia"/>
          <w:lang w:eastAsia="en-US"/>
        </w:rPr>
      </w:pPr>
      <w:r w:rsidRPr="0001799F">
        <w:rPr>
          <w:rFonts w:eastAsiaTheme="minorEastAsia"/>
          <w:lang w:eastAsia="en-US"/>
        </w:rPr>
        <w:t>VARAŽDINSKA ŽUPANIJA</w:t>
      </w:r>
    </w:p>
    <w:p w14:paraId="51FA5C91" w14:textId="77777777" w:rsidR="0001799F" w:rsidRPr="0001799F" w:rsidRDefault="0001799F" w:rsidP="0001799F">
      <w:pPr>
        <w:widowControl w:val="0"/>
        <w:suppressAutoHyphens/>
        <w:ind w:right="6095"/>
        <w:contextualSpacing/>
        <w:rPr>
          <w:rFonts w:eastAsiaTheme="minorEastAsia"/>
          <w:lang w:eastAsia="en-US"/>
        </w:rPr>
      </w:pPr>
      <w:r w:rsidRPr="0001799F">
        <w:rPr>
          <w:rFonts w:eastAsiaTheme="minorEastAsia"/>
          <w:lang w:eastAsia="en-US"/>
        </w:rPr>
        <w:t xml:space="preserve">           GRAD IVANEC</w:t>
      </w:r>
    </w:p>
    <w:p w14:paraId="0CBE064A" w14:textId="77777777" w:rsidR="0001799F" w:rsidRPr="0001799F" w:rsidRDefault="0001799F" w:rsidP="0001799F">
      <w:pPr>
        <w:widowControl w:val="0"/>
        <w:suppressAutoHyphens/>
        <w:ind w:right="6095"/>
        <w:contextualSpacing/>
        <w:rPr>
          <w:rFonts w:eastAsiaTheme="minorEastAsia"/>
          <w:lang w:eastAsia="en-US"/>
        </w:rPr>
      </w:pPr>
      <w:r w:rsidRPr="0001799F">
        <w:rPr>
          <w:rFonts w:eastAsiaTheme="minorEastAsia"/>
          <w:lang w:eastAsia="en-US"/>
        </w:rPr>
        <w:t xml:space="preserve">      GRADONAČELNIK</w:t>
      </w:r>
    </w:p>
    <w:p w14:paraId="19BD862D" w14:textId="77777777" w:rsidR="00C9589F" w:rsidRPr="0001799F" w:rsidRDefault="00C9589F" w:rsidP="00C9589F">
      <w:pPr>
        <w:contextualSpacing/>
      </w:pPr>
    </w:p>
    <w:p w14:paraId="51DB952C" w14:textId="16049888" w:rsidR="001138A9" w:rsidRPr="0001799F" w:rsidRDefault="00696F32" w:rsidP="00C9589F">
      <w:pPr>
        <w:contextualSpacing/>
      </w:pPr>
      <w:r w:rsidRPr="0001799F">
        <w:t>KLASA:</w:t>
      </w:r>
      <w:r w:rsidR="0001799F" w:rsidRPr="0001799F">
        <w:t xml:space="preserve"> 810-01/21-01/08</w:t>
      </w:r>
    </w:p>
    <w:p w14:paraId="6FF6A5ED" w14:textId="0E65DFC1" w:rsidR="001138A9" w:rsidRPr="0001799F" w:rsidRDefault="00EF4B57" w:rsidP="00C9589F">
      <w:pPr>
        <w:contextualSpacing/>
      </w:pPr>
      <w:r w:rsidRPr="0001799F">
        <w:t xml:space="preserve">URBROJ: </w:t>
      </w:r>
      <w:r w:rsidR="0001799F" w:rsidRPr="0001799F">
        <w:t>2186/12-02/03-21-1</w:t>
      </w:r>
    </w:p>
    <w:p w14:paraId="64487958" w14:textId="3B6499B8" w:rsidR="00696F32" w:rsidRPr="0001799F" w:rsidRDefault="000D282A" w:rsidP="00C9589F">
      <w:pPr>
        <w:contextualSpacing/>
      </w:pPr>
      <w:r w:rsidRPr="0001799F">
        <w:t>Ivanec</w:t>
      </w:r>
      <w:r w:rsidR="00C9589F" w:rsidRPr="0001799F">
        <w:t>, 19. veljače</w:t>
      </w:r>
      <w:r w:rsidR="00507D6A" w:rsidRPr="0001799F">
        <w:t xml:space="preserve"> 20</w:t>
      </w:r>
      <w:r w:rsidRPr="0001799F">
        <w:t>21</w:t>
      </w:r>
      <w:r w:rsidR="00833D6E" w:rsidRPr="0001799F">
        <w:t>. godine</w:t>
      </w:r>
    </w:p>
    <w:p w14:paraId="4B6415BC" w14:textId="77777777" w:rsidR="00365968" w:rsidRPr="0001799F" w:rsidRDefault="00365968" w:rsidP="00C9589F">
      <w:pPr>
        <w:contextualSpacing/>
        <w:jc w:val="both"/>
      </w:pPr>
    </w:p>
    <w:p w14:paraId="59A2B54C" w14:textId="6C2F7DA3" w:rsidR="00696F32" w:rsidRPr="0001799F" w:rsidRDefault="00696F32" w:rsidP="00C9589F">
      <w:pPr>
        <w:contextualSpacing/>
        <w:jc w:val="both"/>
      </w:pPr>
      <w:r w:rsidRPr="0001799F">
        <w:t xml:space="preserve">Na temelju </w:t>
      </w:r>
      <w:r w:rsidR="00A170F1" w:rsidRPr="0001799F">
        <w:t>čl</w:t>
      </w:r>
      <w:r w:rsidR="00A34EB0" w:rsidRPr="0001799F">
        <w:t>anka</w:t>
      </w:r>
      <w:r w:rsidR="00CD49B2" w:rsidRPr="0001799F">
        <w:t xml:space="preserve"> </w:t>
      </w:r>
      <w:r w:rsidR="00A170F1" w:rsidRPr="0001799F">
        <w:t xml:space="preserve">7. Pravilnika o smjernicama za izradu procjene rizika od katastrofa i velikih nesreća za područje Republike Hrvatske i jedinica lokalne i područne (regionalne) samouprave („Narodne novine“ broj 65/16), </w:t>
      </w:r>
      <w:r w:rsidR="00F368C6" w:rsidRPr="0001799F">
        <w:t xml:space="preserve">Smjernica </w:t>
      </w:r>
      <w:r w:rsidR="00A34EB0" w:rsidRPr="0001799F">
        <w:t>za izradu Procjene rizika od velikih nesreća na području Varaždinske županije</w:t>
      </w:r>
      <w:r w:rsidR="00C9589F" w:rsidRPr="0001799F">
        <w:t xml:space="preserve"> </w:t>
      </w:r>
      <w:r w:rsidR="00A34EB0" w:rsidRPr="0001799F">
        <w:t xml:space="preserve">(„Službeni vjesnik Varaždinske županije“, broj 73/16), </w:t>
      </w:r>
      <w:r w:rsidR="000D282A" w:rsidRPr="0001799F">
        <w:t>gradonačelnik Grada Ivanca</w:t>
      </w:r>
      <w:r w:rsidR="00A44330" w:rsidRPr="0001799F">
        <w:t xml:space="preserve"> </w:t>
      </w:r>
      <w:r w:rsidR="00096FC5" w:rsidRPr="0001799F">
        <w:t>donosi</w:t>
      </w:r>
    </w:p>
    <w:p w14:paraId="74F3D285" w14:textId="4E443669" w:rsidR="00C9589F" w:rsidRPr="0001799F" w:rsidRDefault="00C9589F" w:rsidP="00C9589F">
      <w:pPr>
        <w:contextualSpacing/>
        <w:jc w:val="both"/>
      </w:pPr>
    </w:p>
    <w:p w14:paraId="29E82C7E" w14:textId="77777777" w:rsidR="00C9589F" w:rsidRPr="0001799F" w:rsidRDefault="00C9589F" w:rsidP="00C9589F">
      <w:pPr>
        <w:contextualSpacing/>
        <w:jc w:val="both"/>
      </w:pPr>
    </w:p>
    <w:p w14:paraId="1807CBB1" w14:textId="501042B2" w:rsidR="00696F32" w:rsidRPr="0001799F" w:rsidRDefault="00696F32" w:rsidP="00C9589F">
      <w:pPr>
        <w:pStyle w:val="StandardWeb"/>
        <w:spacing w:after="120" w:afterAutospacing="0"/>
        <w:contextualSpacing/>
        <w:jc w:val="center"/>
        <w:rPr>
          <w:b/>
        </w:rPr>
      </w:pPr>
      <w:r w:rsidRPr="0001799F">
        <w:rPr>
          <w:rStyle w:val="Naglaeno"/>
        </w:rPr>
        <w:t>O</w:t>
      </w:r>
      <w:r w:rsidR="0001799F">
        <w:rPr>
          <w:rStyle w:val="Naglaeno"/>
        </w:rPr>
        <w:t xml:space="preserve"> </w:t>
      </w:r>
      <w:r w:rsidRPr="0001799F">
        <w:rPr>
          <w:rStyle w:val="Naglaeno"/>
        </w:rPr>
        <w:t>D</w:t>
      </w:r>
      <w:r w:rsidR="0001799F">
        <w:rPr>
          <w:rStyle w:val="Naglaeno"/>
        </w:rPr>
        <w:t xml:space="preserve"> </w:t>
      </w:r>
      <w:r w:rsidRPr="0001799F">
        <w:rPr>
          <w:rStyle w:val="Naglaeno"/>
        </w:rPr>
        <w:t>L</w:t>
      </w:r>
      <w:r w:rsidR="0001799F">
        <w:rPr>
          <w:rStyle w:val="Naglaeno"/>
        </w:rPr>
        <w:t xml:space="preserve"> </w:t>
      </w:r>
      <w:r w:rsidRPr="0001799F">
        <w:rPr>
          <w:rStyle w:val="Naglaeno"/>
        </w:rPr>
        <w:t>U</w:t>
      </w:r>
      <w:r w:rsidR="0001799F">
        <w:rPr>
          <w:rStyle w:val="Naglaeno"/>
        </w:rPr>
        <w:t xml:space="preserve"> </w:t>
      </w:r>
      <w:r w:rsidRPr="0001799F">
        <w:rPr>
          <w:rStyle w:val="Naglaeno"/>
        </w:rPr>
        <w:t>K</w:t>
      </w:r>
      <w:r w:rsidR="0001799F">
        <w:rPr>
          <w:rStyle w:val="Naglaeno"/>
        </w:rPr>
        <w:t xml:space="preserve"> </w:t>
      </w:r>
      <w:r w:rsidRPr="0001799F">
        <w:rPr>
          <w:rStyle w:val="Naglaeno"/>
        </w:rPr>
        <w:t>U</w:t>
      </w:r>
    </w:p>
    <w:p w14:paraId="7E1E0D9A" w14:textId="48E01F58" w:rsidR="00507D6A" w:rsidRPr="0001799F" w:rsidRDefault="006B79C6" w:rsidP="00C9589F">
      <w:pPr>
        <w:pStyle w:val="StandardWeb"/>
        <w:spacing w:before="0" w:beforeAutospacing="0" w:after="240" w:afterAutospacing="0"/>
        <w:contextualSpacing/>
        <w:jc w:val="center"/>
        <w:rPr>
          <w:b/>
        </w:rPr>
      </w:pPr>
      <w:r w:rsidRPr="0001799F">
        <w:rPr>
          <w:b/>
        </w:rPr>
        <w:t>o postupku izrade Procjene ri</w:t>
      </w:r>
      <w:r w:rsidR="002F2761" w:rsidRPr="0001799F">
        <w:rPr>
          <w:b/>
        </w:rPr>
        <w:t xml:space="preserve">zika od velikih nesreća za </w:t>
      </w:r>
      <w:r w:rsidR="000D282A" w:rsidRPr="0001799F">
        <w:rPr>
          <w:b/>
        </w:rPr>
        <w:t>Grad Ivanec</w:t>
      </w:r>
      <w:r w:rsidR="00A44330" w:rsidRPr="0001799F">
        <w:rPr>
          <w:b/>
        </w:rPr>
        <w:t xml:space="preserve"> </w:t>
      </w:r>
      <w:r w:rsidRPr="0001799F">
        <w:rPr>
          <w:b/>
        </w:rPr>
        <w:t>i osnivanju Radne skupine za izradu Procjene rizika od velikih nesreća za</w:t>
      </w:r>
      <w:r w:rsidR="000D282A" w:rsidRPr="0001799F">
        <w:rPr>
          <w:b/>
        </w:rPr>
        <w:t xml:space="preserve"> Grad Ivanec</w:t>
      </w:r>
      <w:r w:rsidR="00833D6E" w:rsidRPr="0001799F">
        <w:rPr>
          <w:b/>
        </w:rPr>
        <w:t xml:space="preserve"> </w:t>
      </w:r>
    </w:p>
    <w:p w14:paraId="591F4384" w14:textId="3036FDDC" w:rsidR="00C9589F" w:rsidRPr="0001799F" w:rsidRDefault="00C9589F" w:rsidP="00C9589F">
      <w:pPr>
        <w:pStyle w:val="StandardWeb"/>
        <w:spacing w:before="0" w:beforeAutospacing="0" w:after="240" w:afterAutospacing="0"/>
        <w:contextualSpacing/>
        <w:jc w:val="center"/>
        <w:rPr>
          <w:b/>
        </w:rPr>
      </w:pPr>
    </w:p>
    <w:p w14:paraId="48B59F0A" w14:textId="77777777" w:rsidR="00995CF7" w:rsidRPr="0001799F" w:rsidRDefault="00995CF7" w:rsidP="00C9589F">
      <w:pPr>
        <w:pStyle w:val="StandardWeb"/>
        <w:spacing w:before="0" w:beforeAutospacing="0" w:after="240" w:afterAutospacing="0"/>
        <w:contextualSpacing/>
        <w:jc w:val="center"/>
        <w:rPr>
          <w:b/>
        </w:rPr>
      </w:pPr>
    </w:p>
    <w:p w14:paraId="5A7263F5" w14:textId="2097B73C" w:rsidR="00C9589F" w:rsidRPr="0001799F" w:rsidRDefault="00C9589F" w:rsidP="00C9589F">
      <w:pPr>
        <w:pStyle w:val="StandardWeb"/>
        <w:spacing w:before="0" w:beforeAutospacing="0" w:after="240" w:afterAutospacing="0"/>
        <w:contextualSpacing/>
        <w:jc w:val="center"/>
        <w:rPr>
          <w:b/>
        </w:rPr>
      </w:pPr>
    </w:p>
    <w:p w14:paraId="775D3842" w14:textId="77777777" w:rsidR="00C9589F" w:rsidRPr="0001799F" w:rsidRDefault="00C9589F" w:rsidP="00C9589F">
      <w:pPr>
        <w:pStyle w:val="StandardWeb"/>
        <w:spacing w:before="0" w:beforeAutospacing="0" w:after="240" w:afterAutospacing="0"/>
        <w:contextualSpacing/>
        <w:jc w:val="center"/>
        <w:rPr>
          <w:b/>
        </w:rPr>
      </w:pPr>
    </w:p>
    <w:p w14:paraId="61FCD803" w14:textId="77777777" w:rsidR="00696F32" w:rsidRPr="0001799F" w:rsidRDefault="00696F32" w:rsidP="00C9589F">
      <w:pPr>
        <w:pStyle w:val="StandardWeb"/>
        <w:spacing w:before="0" w:beforeAutospacing="0" w:after="120" w:afterAutospacing="0"/>
        <w:contextualSpacing/>
        <w:jc w:val="center"/>
        <w:rPr>
          <w:b/>
        </w:rPr>
      </w:pPr>
      <w:r w:rsidRPr="0001799F">
        <w:rPr>
          <w:b/>
        </w:rPr>
        <w:t>Članak 1.</w:t>
      </w:r>
    </w:p>
    <w:p w14:paraId="3BF7C9BA" w14:textId="58ED2F3A" w:rsidR="00696F32" w:rsidRPr="0001799F" w:rsidRDefault="00696F32" w:rsidP="00C9589F">
      <w:pPr>
        <w:pStyle w:val="StandardWeb"/>
        <w:spacing w:before="0" w:beforeAutospacing="0" w:after="120" w:afterAutospacing="0"/>
        <w:contextualSpacing/>
        <w:jc w:val="both"/>
      </w:pPr>
      <w:r w:rsidRPr="0001799F">
        <w:t xml:space="preserve">Ovom Odlukom </w:t>
      </w:r>
      <w:r w:rsidR="006B79C6" w:rsidRPr="0001799F">
        <w:t>uređuje se postupak izrade Procjene rizika od velikih</w:t>
      </w:r>
      <w:r w:rsidR="00F368C6" w:rsidRPr="0001799F">
        <w:t xml:space="preserve"> nesreća za </w:t>
      </w:r>
      <w:r w:rsidR="000D282A" w:rsidRPr="0001799F">
        <w:t>Grad Ivanec</w:t>
      </w:r>
      <w:r w:rsidR="006B79C6" w:rsidRPr="0001799F">
        <w:t>, osniva Radna skupina za izradu Procjene rizika od velikih</w:t>
      </w:r>
      <w:r w:rsidR="00F368C6" w:rsidRPr="0001799F">
        <w:t xml:space="preserve"> nesreća za </w:t>
      </w:r>
      <w:r w:rsidR="000D282A" w:rsidRPr="0001799F">
        <w:t>Grad Ivanec</w:t>
      </w:r>
      <w:r w:rsidR="00833D6E" w:rsidRPr="0001799F">
        <w:t xml:space="preserve"> </w:t>
      </w:r>
      <w:r w:rsidR="006B79C6" w:rsidRPr="0001799F">
        <w:t xml:space="preserve"> te određuju </w:t>
      </w:r>
      <w:r w:rsidR="00362336" w:rsidRPr="0001799F">
        <w:t>koordinatori, nositelji i izvršitelji izrade Procjene rizika.</w:t>
      </w:r>
    </w:p>
    <w:p w14:paraId="2E40FAF1" w14:textId="77777777" w:rsidR="00C9589F" w:rsidRPr="0001799F" w:rsidRDefault="00C9589F" w:rsidP="00C9589F">
      <w:pPr>
        <w:pStyle w:val="StandardWeb"/>
        <w:spacing w:before="0" w:beforeAutospacing="0" w:after="120" w:afterAutospacing="0"/>
        <w:contextualSpacing/>
        <w:jc w:val="both"/>
      </w:pPr>
    </w:p>
    <w:p w14:paraId="2C02A7DC" w14:textId="71719A7F" w:rsidR="00362336" w:rsidRPr="0001799F" w:rsidRDefault="00362336" w:rsidP="00C9589F">
      <w:pPr>
        <w:pStyle w:val="StandardWeb"/>
        <w:spacing w:before="0" w:beforeAutospacing="0" w:after="120" w:afterAutospacing="0"/>
        <w:contextualSpacing/>
        <w:jc w:val="both"/>
      </w:pPr>
      <w:r w:rsidRPr="0001799F">
        <w:t>Procjena rizika od velikih</w:t>
      </w:r>
      <w:r w:rsidR="00F368C6" w:rsidRPr="0001799F">
        <w:t xml:space="preserve"> nesreća za </w:t>
      </w:r>
      <w:r w:rsidR="000D282A" w:rsidRPr="0001799F">
        <w:t>Grad Ivanec</w:t>
      </w:r>
      <w:r w:rsidR="00A44330" w:rsidRPr="0001799F">
        <w:t xml:space="preserve"> </w:t>
      </w:r>
      <w:r w:rsidRPr="0001799F">
        <w:t>izrađuje se sukladn</w:t>
      </w:r>
      <w:r w:rsidR="00F368C6" w:rsidRPr="0001799F">
        <w:t xml:space="preserve">o Smjernicama </w:t>
      </w:r>
      <w:r w:rsidR="00A34EB0" w:rsidRPr="0001799F">
        <w:t>za izradu Procjene rizika od velikih nesreća na području Varaždinske županije.</w:t>
      </w:r>
    </w:p>
    <w:p w14:paraId="0BCA852F" w14:textId="77777777" w:rsidR="00C9589F" w:rsidRPr="0001799F" w:rsidRDefault="00C9589F" w:rsidP="00C9589F">
      <w:pPr>
        <w:pStyle w:val="StandardWeb"/>
        <w:spacing w:before="0" w:beforeAutospacing="0" w:after="120" w:afterAutospacing="0"/>
        <w:contextualSpacing/>
        <w:jc w:val="both"/>
      </w:pPr>
    </w:p>
    <w:p w14:paraId="7CEE5ABD" w14:textId="0DE7AC52" w:rsidR="00362336" w:rsidRPr="0001799F" w:rsidRDefault="00362336" w:rsidP="00C9589F">
      <w:pPr>
        <w:pStyle w:val="StandardWeb"/>
        <w:spacing w:before="0" w:beforeAutospacing="0" w:after="120" w:afterAutospacing="0"/>
        <w:contextualSpacing/>
        <w:jc w:val="both"/>
      </w:pPr>
      <w:r w:rsidRPr="0001799F">
        <w:t>Postupak izrade procjene rizika obuhvaća primjenu metodologije za izradu Procjene</w:t>
      </w:r>
      <w:r w:rsidR="00301581" w:rsidRPr="0001799F">
        <w:t xml:space="preserve"> rizika, korištenje </w:t>
      </w:r>
      <w:r w:rsidRPr="0001799F">
        <w:t>uputa za izradu svakog pojedinog scenarija</w:t>
      </w:r>
      <w:r w:rsidR="00301581" w:rsidRPr="0001799F">
        <w:t>, izradu matrica i kara</w:t>
      </w:r>
      <w:r w:rsidR="00E5773B" w:rsidRPr="0001799F">
        <w:t>ta rizika i prijetnji</w:t>
      </w:r>
      <w:r w:rsidR="00184E57" w:rsidRPr="0001799F">
        <w:t>,</w:t>
      </w:r>
      <w:r w:rsidR="00301581" w:rsidRPr="0001799F">
        <w:t xml:space="preserve"> analizu sustava civilne zaštite</w:t>
      </w:r>
      <w:r w:rsidR="00184E57" w:rsidRPr="0001799F">
        <w:t xml:space="preserve"> te vrednovanje rizika</w:t>
      </w:r>
      <w:r w:rsidR="00301581" w:rsidRPr="0001799F">
        <w:t>.</w:t>
      </w:r>
    </w:p>
    <w:p w14:paraId="5ECCBBE1" w14:textId="77777777" w:rsidR="00C9589F" w:rsidRPr="0001799F" w:rsidRDefault="00C9589F" w:rsidP="00C9589F">
      <w:pPr>
        <w:pStyle w:val="StandardWeb"/>
        <w:spacing w:before="0" w:beforeAutospacing="0" w:after="120" w:afterAutospacing="0"/>
        <w:contextualSpacing/>
        <w:jc w:val="center"/>
        <w:rPr>
          <w:b/>
        </w:rPr>
      </w:pPr>
    </w:p>
    <w:p w14:paraId="7FD16EE1" w14:textId="77777777" w:rsidR="00C9589F" w:rsidRPr="0001799F" w:rsidRDefault="00C9589F" w:rsidP="00C9589F">
      <w:pPr>
        <w:pStyle w:val="StandardWeb"/>
        <w:spacing w:before="0" w:beforeAutospacing="0" w:after="120" w:afterAutospacing="0"/>
        <w:contextualSpacing/>
        <w:jc w:val="center"/>
        <w:rPr>
          <w:b/>
        </w:rPr>
      </w:pPr>
    </w:p>
    <w:p w14:paraId="5F1C1139" w14:textId="6F508A2A" w:rsidR="0020166C" w:rsidRPr="0001799F" w:rsidRDefault="0020166C" w:rsidP="00C9589F">
      <w:pPr>
        <w:pStyle w:val="StandardWeb"/>
        <w:spacing w:before="0" w:beforeAutospacing="0" w:after="120" w:afterAutospacing="0"/>
        <w:contextualSpacing/>
        <w:jc w:val="center"/>
        <w:rPr>
          <w:b/>
        </w:rPr>
      </w:pPr>
      <w:r w:rsidRPr="0001799F">
        <w:rPr>
          <w:b/>
        </w:rPr>
        <w:t>Članak 2.</w:t>
      </w:r>
    </w:p>
    <w:p w14:paraId="52CDAE9E" w14:textId="3108F878" w:rsidR="00301581" w:rsidRPr="0001799F" w:rsidRDefault="00301581" w:rsidP="0001799F">
      <w:pPr>
        <w:pStyle w:val="StandardWeb"/>
        <w:tabs>
          <w:tab w:val="right" w:pos="9072"/>
        </w:tabs>
        <w:spacing w:before="0" w:beforeAutospacing="0" w:after="120" w:afterAutospacing="0"/>
        <w:contextualSpacing/>
        <w:jc w:val="both"/>
      </w:pPr>
      <w:r w:rsidRPr="0001799F">
        <w:t xml:space="preserve">Ovom </w:t>
      </w:r>
      <w:r w:rsidR="00E5773B" w:rsidRPr="0001799F">
        <w:t>Odlukom određuju se koordinator</w:t>
      </w:r>
      <w:r w:rsidRPr="0001799F">
        <w:t>, nositelji te izvršitelji za svaki pojedini rizik.</w:t>
      </w:r>
      <w:r w:rsidR="0001799F">
        <w:tab/>
      </w:r>
    </w:p>
    <w:p w14:paraId="45D5BA52" w14:textId="77777777" w:rsidR="00C9589F" w:rsidRPr="0001799F" w:rsidRDefault="00C9589F" w:rsidP="00C9589F">
      <w:pPr>
        <w:pStyle w:val="StandardWeb"/>
        <w:spacing w:before="0" w:beforeAutospacing="0" w:after="120" w:afterAutospacing="0"/>
        <w:contextualSpacing/>
        <w:jc w:val="both"/>
      </w:pPr>
    </w:p>
    <w:p w14:paraId="37B0C75B" w14:textId="5ADC05C2" w:rsidR="00301581" w:rsidRPr="0001799F" w:rsidRDefault="00E5773B" w:rsidP="00C9589F">
      <w:pPr>
        <w:pStyle w:val="StandardWeb"/>
        <w:spacing w:before="0" w:beforeAutospacing="0" w:after="120" w:afterAutospacing="0"/>
        <w:contextualSpacing/>
        <w:jc w:val="both"/>
      </w:pPr>
      <w:r w:rsidRPr="0001799F">
        <w:t>Koordinator organizira i koordinira</w:t>
      </w:r>
      <w:r w:rsidR="00301581" w:rsidRPr="0001799F">
        <w:t xml:space="preserve"> izradu svakog pojedinog rizika</w:t>
      </w:r>
      <w:r w:rsidRPr="0001799F">
        <w:t xml:space="preserve"> koji će se obrađivati u Procjeni rizika od velikih</w:t>
      </w:r>
      <w:r w:rsidR="00F368C6" w:rsidRPr="0001799F">
        <w:t xml:space="preserve"> nesreća za </w:t>
      </w:r>
      <w:r w:rsidR="000D282A" w:rsidRPr="0001799F">
        <w:t>Grad Ivanec</w:t>
      </w:r>
      <w:r w:rsidRPr="0001799F">
        <w:t>.</w:t>
      </w:r>
    </w:p>
    <w:p w14:paraId="4D090CAB" w14:textId="77777777" w:rsidR="00C9589F" w:rsidRPr="0001799F" w:rsidRDefault="00C9589F" w:rsidP="00C9589F">
      <w:pPr>
        <w:pStyle w:val="StandardWeb"/>
        <w:spacing w:before="0" w:beforeAutospacing="0" w:after="120" w:afterAutospacing="0"/>
        <w:contextualSpacing/>
        <w:jc w:val="both"/>
      </w:pPr>
    </w:p>
    <w:p w14:paraId="4A7D0288" w14:textId="7AA30C5C" w:rsidR="00C9589F" w:rsidRPr="0001799F" w:rsidRDefault="001E508A" w:rsidP="00C9589F">
      <w:pPr>
        <w:pStyle w:val="StandardWeb"/>
        <w:spacing w:before="0" w:beforeAutospacing="0" w:after="120" w:afterAutospacing="0"/>
        <w:contextualSpacing/>
        <w:jc w:val="both"/>
      </w:pPr>
      <w:r w:rsidRPr="0001799F">
        <w:t>Nositelj/i izrade procjene rizika dužn</w:t>
      </w:r>
      <w:r w:rsidR="00E5773B" w:rsidRPr="0001799F">
        <w:t>i su surađivati s koordinatorom</w:t>
      </w:r>
      <w:r w:rsidRPr="0001799F">
        <w:t xml:space="preserve"> te u okviru svoje nadležnosti doprinositi razradi scenarija. Nositelji predloženi u Prilog</w:t>
      </w:r>
      <w:r w:rsidR="00AB01E4" w:rsidRPr="0001799F">
        <w:t xml:space="preserve">u 1. </w:t>
      </w:r>
      <w:r w:rsidRPr="0001799F">
        <w:t>Odluke su prom</w:t>
      </w:r>
      <w:r w:rsidR="00E5773B" w:rsidRPr="0001799F">
        <w:t>jenjivi na način da koordinator</w:t>
      </w:r>
      <w:r w:rsidRPr="0001799F">
        <w:t xml:space="preserve"> sukladno potrebama</w:t>
      </w:r>
      <w:r w:rsidR="00E5773B" w:rsidRPr="0001799F">
        <w:t xml:space="preserve"> tijekom izrade scenarija, može</w:t>
      </w:r>
      <w:r w:rsidRPr="0001799F">
        <w:t xml:space="preserve"> odrediti druge nositelje, pored imenovanih i uključivati nove nositelje.</w:t>
      </w:r>
    </w:p>
    <w:p w14:paraId="13F40203" w14:textId="6F37CB3E" w:rsidR="00362336" w:rsidRPr="0001799F" w:rsidRDefault="001E508A" w:rsidP="00C9589F">
      <w:pPr>
        <w:pStyle w:val="StandardWeb"/>
        <w:spacing w:before="0" w:beforeAutospacing="0" w:after="120" w:afterAutospacing="0"/>
        <w:contextualSpacing/>
        <w:jc w:val="both"/>
      </w:pPr>
      <w:r w:rsidRPr="0001799F">
        <w:lastRenderedPageBreak/>
        <w:t>Izvršitelj/i izrade Procjene rizika dužn</w:t>
      </w:r>
      <w:r w:rsidR="00E5773B" w:rsidRPr="0001799F">
        <w:t>i su surađivati s koordinatorom</w:t>
      </w:r>
      <w:r w:rsidRPr="0001799F">
        <w:t xml:space="preserve"> i nositeljima te u okviru svoje nadležnosti doprinositi razradi scenarija. Izvršitelji predloženi u Prilog</w:t>
      </w:r>
      <w:r w:rsidR="00AB01E4" w:rsidRPr="0001799F">
        <w:t xml:space="preserve">u 1. </w:t>
      </w:r>
      <w:r w:rsidRPr="0001799F">
        <w:t xml:space="preserve">Odluke su promjenjivi na </w:t>
      </w:r>
      <w:r w:rsidR="00E5773B" w:rsidRPr="0001799F">
        <w:t>način da koordinator</w:t>
      </w:r>
      <w:r w:rsidR="00AB01E4" w:rsidRPr="0001799F">
        <w:t>, sukladno potrebama tijekom izrade scenarija mogu odrediti druge izvršitelje, pored imenovanih i uključivati nove izvršitelje.</w:t>
      </w:r>
    </w:p>
    <w:p w14:paraId="2B90AC48" w14:textId="77777777" w:rsidR="00C9589F" w:rsidRPr="0001799F" w:rsidRDefault="00C9589F" w:rsidP="00C9589F">
      <w:pPr>
        <w:pStyle w:val="StandardWeb"/>
        <w:spacing w:before="0" w:beforeAutospacing="0" w:after="120" w:afterAutospacing="0"/>
        <w:contextualSpacing/>
        <w:jc w:val="both"/>
      </w:pPr>
    </w:p>
    <w:p w14:paraId="12FDE12B" w14:textId="38D702BC" w:rsidR="00A170F1" w:rsidRPr="0001799F" w:rsidRDefault="00AB01E4" w:rsidP="00C9589F">
      <w:pPr>
        <w:pStyle w:val="StandardWeb"/>
        <w:spacing w:before="0" w:beforeAutospacing="0" w:after="120" w:afterAutospacing="0"/>
        <w:contextualSpacing/>
        <w:jc w:val="both"/>
      </w:pPr>
      <w:r w:rsidRPr="0001799F">
        <w:t xml:space="preserve">Popis koordinatora, nositelja i izvršitelja nalazi se u Prilogu 1. koji je sastavni dio ove Odluke. </w:t>
      </w:r>
    </w:p>
    <w:p w14:paraId="4A8EA254" w14:textId="77777777" w:rsidR="00C9589F" w:rsidRPr="0001799F" w:rsidRDefault="00C9589F" w:rsidP="00C9589F">
      <w:pPr>
        <w:pStyle w:val="StandardWeb"/>
        <w:spacing w:before="0" w:beforeAutospacing="0" w:after="120" w:afterAutospacing="0"/>
        <w:contextualSpacing/>
        <w:jc w:val="center"/>
        <w:rPr>
          <w:b/>
        </w:rPr>
      </w:pPr>
    </w:p>
    <w:p w14:paraId="70304F7C" w14:textId="77777777" w:rsidR="00C9589F" w:rsidRPr="0001799F" w:rsidRDefault="00C9589F" w:rsidP="00C9589F">
      <w:pPr>
        <w:pStyle w:val="StandardWeb"/>
        <w:spacing w:before="0" w:beforeAutospacing="0" w:after="120" w:afterAutospacing="0"/>
        <w:contextualSpacing/>
        <w:jc w:val="center"/>
        <w:rPr>
          <w:b/>
        </w:rPr>
      </w:pPr>
    </w:p>
    <w:p w14:paraId="30B3EB50" w14:textId="5CF64E8D" w:rsidR="006A6176" w:rsidRPr="0001799F" w:rsidRDefault="00777B95" w:rsidP="00C9589F">
      <w:pPr>
        <w:pStyle w:val="StandardWeb"/>
        <w:spacing w:before="0" w:beforeAutospacing="0" w:after="120" w:afterAutospacing="0"/>
        <w:contextualSpacing/>
        <w:jc w:val="center"/>
        <w:rPr>
          <w:b/>
        </w:rPr>
      </w:pPr>
      <w:r w:rsidRPr="0001799F">
        <w:rPr>
          <w:b/>
        </w:rPr>
        <w:t xml:space="preserve">Članak </w:t>
      </w:r>
      <w:r w:rsidR="0020166C" w:rsidRPr="0001799F">
        <w:rPr>
          <w:b/>
        </w:rPr>
        <w:t>3</w:t>
      </w:r>
      <w:r w:rsidRPr="0001799F">
        <w:rPr>
          <w:b/>
        </w:rPr>
        <w:t>.</w:t>
      </w:r>
    </w:p>
    <w:p w14:paraId="01573ADA" w14:textId="1FA89B8B" w:rsidR="00851F09" w:rsidRPr="0001799F" w:rsidRDefault="00E5773B" w:rsidP="00C9589F">
      <w:pPr>
        <w:pStyle w:val="StandardWeb"/>
        <w:spacing w:before="0" w:beforeAutospacing="0" w:after="120" w:afterAutospacing="0"/>
        <w:contextualSpacing/>
        <w:jc w:val="both"/>
      </w:pPr>
      <w:r w:rsidRPr="0001799F">
        <w:t>Osniva se R</w:t>
      </w:r>
      <w:r w:rsidR="00AB01E4" w:rsidRPr="0001799F">
        <w:t>adna skupina za izradu Procjene rizika od velikih</w:t>
      </w:r>
      <w:r w:rsidR="00F368C6" w:rsidRPr="0001799F">
        <w:t xml:space="preserve"> nesreća za </w:t>
      </w:r>
      <w:r w:rsidR="000D282A" w:rsidRPr="0001799F">
        <w:t>Grad Ivanec</w:t>
      </w:r>
      <w:r w:rsidR="00DD1A0D" w:rsidRPr="0001799F">
        <w:t>.</w:t>
      </w:r>
      <w:r w:rsidR="00A170F1" w:rsidRPr="0001799F">
        <w:t xml:space="preserve"> Članovi radne skupine su</w:t>
      </w:r>
      <w:r w:rsidR="00F368C6" w:rsidRPr="0001799F">
        <w:t xml:space="preserve">: </w:t>
      </w:r>
      <w:r w:rsidR="00A44330" w:rsidRPr="0001799F">
        <w:t>načelnik Stožera</w:t>
      </w:r>
      <w:r w:rsidR="00184E57" w:rsidRPr="0001799F">
        <w:t xml:space="preserve"> civilne zaštite</w:t>
      </w:r>
      <w:r w:rsidR="00A44330" w:rsidRPr="0001799F">
        <w:t xml:space="preserve"> kao koordinator</w:t>
      </w:r>
      <w:r w:rsidR="00D65B6D" w:rsidRPr="0001799F">
        <w:t>, pre</w:t>
      </w:r>
      <w:r w:rsidRPr="0001799F">
        <w:t>d</w:t>
      </w:r>
      <w:r w:rsidR="0044303E" w:rsidRPr="0001799F">
        <w:t>stavnici</w:t>
      </w:r>
      <w:r w:rsidR="000D282A" w:rsidRPr="0001799F">
        <w:t xml:space="preserve"> Grada Ivanca</w:t>
      </w:r>
      <w:r w:rsidR="00C16B4F" w:rsidRPr="0001799F">
        <w:t xml:space="preserve"> i </w:t>
      </w:r>
      <w:r w:rsidR="00D65B6D" w:rsidRPr="0001799F">
        <w:t xml:space="preserve"> pravnih osoba iz javnog sektora kao nositelji i izvršitelji.</w:t>
      </w:r>
    </w:p>
    <w:p w14:paraId="2F07D751" w14:textId="77777777" w:rsidR="00C9589F" w:rsidRPr="0001799F" w:rsidRDefault="00C9589F" w:rsidP="00C9589F">
      <w:pPr>
        <w:pStyle w:val="StandardWeb"/>
        <w:spacing w:before="0" w:beforeAutospacing="0" w:after="120" w:afterAutospacing="0"/>
        <w:contextualSpacing/>
        <w:jc w:val="both"/>
      </w:pPr>
    </w:p>
    <w:p w14:paraId="0A79680F" w14:textId="2DA506EF" w:rsidR="00EA5CCA" w:rsidRPr="0001799F" w:rsidRDefault="00F042EF" w:rsidP="00C9589F">
      <w:pPr>
        <w:pStyle w:val="StandardWeb"/>
        <w:spacing w:before="0" w:beforeAutospacing="0" w:after="120" w:afterAutospacing="0"/>
        <w:contextualSpacing/>
        <w:jc w:val="both"/>
      </w:pPr>
      <w:r w:rsidRPr="0001799F">
        <w:t>Za potrebe izrad</w:t>
      </w:r>
      <w:r w:rsidR="00184E57" w:rsidRPr="0001799F">
        <w:t>e Procjene rizika ugovorom je</w:t>
      </w:r>
      <w:r w:rsidRPr="0001799F">
        <w:t xml:space="preserve"> anga</w:t>
      </w:r>
      <w:r w:rsidR="00184E57" w:rsidRPr="0001799F">
        <w:t>žiran ovlaštenik</w:t>
      </w:r>
      <w:r w:rsidRPr="0001799F">
        <w:t xml:space="preserve"> za prvu grupu stručnih poslova u području planiranja civilne zaštite, u svojstvu konzultanta.</w:t>
      </w:r>
    </w:p>
    <w:p w14:paraId="10D972D9" w14:textId="77777777" w:rsidR="00C9589F" w:rsidRPr="0001799F" w:rsidRDefault="00C9589F" w:rsidP="00C9589F">
      <w:pPr>
        <w:pStyle w:val="StandardWeb"/>
        <w:contextualSpacing/>
        <w:jc w:val="center"/>
        <w:rPr>
          <w:b/>
          <w:bCs/>
        </w:rPr>
      </w:pPr>
    </w:p>
    <w:p w14:paraId="047DCE12" w14:textId="77777777" w:rsidR="00C9589F" w:rsidRPr="0001799F" w:rsidRDefault="00C9589F" w:rsidP="00C9589F">
      <w:pPr>
        <w:pStyle w:val="StandardWeb"/>
        <w:contextualSpacing/>
        <w:jc w:val="center"/>
        <w:rPr>
          <w:b/>
          <w:bCs/>
        </w:rPr>
      </w:pPr>
    </w:p>
    <w:p w14:paraId="6E99B707" w14:textId="0117AE13" w:rsidR="00365968" w:rsidRPr="0001799F" w:rsidRDefault="0020166C" w:rsidP="00C9589F">
      <w:pPr>
        <w:pStyle w:val="StandardWeb"/>
        <w:contextualSpacing/>
        <w:jc w:val="center"/>
        <w:rPr>
          <w:b/>
          <w:bCs/>
        </w:rPr>
      </w:pPr>
      <w:r w:rsidRPr="0001799F">
        <w:rPr>
          <w:b/>
          <w:bCs/>
        </w:rPr>
        <w:t>Članak 4.</w:t>
      </w:r>
    </w:p>
    <w:p w14:paraId="1A0F7A00" w14:textId="19FE76BF" w:rsidR="00D65B6D" w:rsidRPr="0001799F" w:rsidRDefault="00D65B6D" w:rsidP="00C9589F">
      <w:pPr>
        <w:pStyle w:val="StandardWeb"/>
        <w:spacing w:before="0" w:beforeAutospacing="0" w:after="0" w:afterAutospacing="0"/>
        <w:contextualSpacing/>
      </w:pPr>
      <w:r w:rsidRPr="0001799F">
        <w:t>Obaveze koordinatora:</w:t>
      </w:r>
    </w:p>
    <w:p w14:paraId="5EC803D3" w14:textId="37134916" w:rsidR="00D65B6D" w:rsidRPr="0001799F" w:rsidRDefault="00C9589F" w:rsidP="00C9589F">
      <w:pPr>
        <w:pStyle w:val="StandardWeb"/>
        <w:spacing w:before="0" w:beforeAutospacing="0" w:after="0" w:afterAutospacing="0"/>
        <w:contextualSpacing/>
        <w:jc w:val="both"/>
      </w:pPr>
      <w:r w:rsidRPr="0001799F">
        <w:t xml:space="preserve">- </w:t>
      </w:r>
      <w:r w:rsidR="00D65B6D" w:rsidRPr="0001799F">
        <w:t xml:space="preserve">Izrada </w:t>
      </w:r>
      <w:r w:rsidR="00EA5CCA" w:rsidRPr="0001799F">
        <w:t>scenarija za određene rizike,</w:t>
      </w:r>
    </w:p>
    <w:p w14:paraId="3A47ADD7" w14:textId="43EB4915" w:rsidR="00EA5CCA" w:rsidRPr="0001799F" w:rsidRDefault="00C9589F" w:rsidP="00C9589F">
      <w:pPr>
        <w:pStyle w:val="StandardWeb"/>
        <w:spacing w:before="0" w:beforeAutospacing="0" w:after="0" w:afterAutospacing="0"/>
        <w:contextualSpacing/>
        <w:jc w:val="both"/>
      </w:pPr>
      <w:r w:rsidRPr="0001799F">
        <w:t xml:space="preserve">- </w:t>
      </w:r>
      <w:r w:rsidR="00EA5CCA" w:rsidRPr="0001799F">
        <w:t>Odgovornost za sadržaj i podatke korištene za analizu rizika,</w:t>
      </w:r>
    </w:p>
    <w:p w14:paraId="6AE4D211" w14:textId="4EDA07BB" w:rsidR="00EA5CCA" w:rsidRPr="0001799F" w:rsidRDefault="00C9589F" w:rsidP="00C9589F">
      <w:pPr>
        <w:pStyle w:val="StandardWeb"/>
        <w:spacing w:before="0" w:beforeAutospacing="0" w:after="0" w:afterAutospacing="0"/>
        <w:contextualSpacing/>
        <w:jc w:val="both"/>
      </w:pPr>
      <w:r w:rsidRPr="0001799F">
        <w:t xml:space="preserve">- </w:t>
      </w:r>
      <w:r w:rsidR="00EA5CCA" w:rsidRPr="0001799F">
        <w:t>Odgovornost za razrad</w:t>
      </w:r>
      <w:r w:rsidR="00A44330" w:rsidRPr="0001799F">
        <w:t>u rizika navedenih u Prilogu 1.o</w:t>
      </w:r>
      <w:r w:rsidR="00EA5CCA" w:rsidRPr="0001799F">
        <w:t>ve Odluke,</w:t>
      </w:r>
    </w:p>
    <w:p w14:paraId="675BC285" w14:textId="3B2E8409" w:rsidR="00362336" w:rsidRPr="0001799F" w:rsidRDefault="00C9589F" w:rsidP="00C9589F">
      <w:pPr>
        <w:pStyle w:val="StandardWeb"/>
        <w:spacing w:before="0" w:beforeAutospacing="0" w:after="0" w:afterAutospacing="0"/>
        <w:ind w:left="170" w:hanging="170"/>
        <w:contextualSpacing/>
        <w:jc w:val="both"/>
      </w:pPr>
      <w:r w:rsidRPr="0001799F">
        <w:t xml:space="preserve">- </w:t>
      </w:r>
      <w:r w:rsidR="008722BD" w:rsidRPr="0001799F">
        <w:t>Koordinacija</w:t>
      </w:r>
      <w:r w:rsidR="00EA5CCA" w:rsidRPr="0001799F">
        <w:t xml:space="preserve"> sa svim nadležnim tijelim</w:t>
      </w:r>
      <w:r w:rsidR="00E70A0F" w:rsidRPr="0001799F">
        <w:t>a državne uprave i pravnim osobama</w:t>
      </w:r>
      <w:r w:rsidR="00EA5CCA" w:rsidRPr="0001799F">
        <w:t xml:space="preserve"> u svrhu prikupljanja podataka važnih za Procjenu.</w:t>
      </w:r>
    </w:p>
    <w:p w14:paraId="5CBE6394" w14:textId="77777777" w:rsidR="00C9589F" w:rsidRPr="0001799F" w:rsidRDefault="00C9589F" w:rsidP="00C9589F">
      <w:pPr>
        <w:pStyle w:val="StandardWeb"/>
        <w:contextualSpacing/>
        <w:jc w:val="center"/>
        <w:rPr>
          <w:b/>
          <w:bCs/>
        </w:rPr>
      </w:pPr>
    </w:p>
    <w:p w14:paraId="6C039DBB" w14:textId="77777777" w:rsidR="00C9589F" w:rsidRPr="0001799F" w:rsidRDefault="00C9589F" w:rsidP="00C9589F">
      <w:pPr>
        <w:pStyle w:val="StandardWeb"/>
        <w:contextualSpacing/>
        <w:jc w:val="center"/>
        <w:rPr>
          <w:b/>
          <w:bCs/>
        </w:rPr>
      </w:pPr>
    </w:p>
    <w:p w14:paraId="46425B55" w14:textId="0EFF1CE1" w:rsidR="00696F32" w:rsidRPr="0001799F" w:rsidRDefault="005A57E5" w:rsidP="00C9589F">
      <w:pPr>
        <w:pStyle w:val="StandardWeb"/>
        <w:contextualSpacing/>
        <w:jc w:val="center"/>
        <w:rPr>
          <w:b/>
          <w:bCs/>
        </w:rPr>
      </w:pPr>
      <w:r w:rsidRPr="0001799F">
        <w:rPr>
          <w:b/>
          <w:bCs/>
        </w:rPr>
        <w:t>Članak 5</w:t>
      </w:r>
      <w:r w:rsidR="00696F32" w:rsidRPr="0001799F">
        <w:rPr>
          <w:b/>
          <w:bCs/>
        </w:rPr>
        <w:t>.</w:t>
      </w:r>
    </w:p>
    <w:p w14:paraId="7AB69EBF" w14:textId="521E5042" w:rsidR="00704DFA" w:rsidRPr="0001799F" w:rsidRDefault="00EA5CCA" w:rsidP="00C9589F">
      <w:pPr>
        <w:pStyle w:val="StandardWeb"/>
        <w:spacing w:before="0" w:beforeAutospacing="0" w:after="120" w:afterAutospacing="0"/>
        <w:contextualSpacing/>
        <w:jc w:val="both"/>
      </w:pPr>
      <w:r w:rsidRPr="0001799F">
        <w:t>Obaveze nositelja:</w:t>
      </w:r>
    </w:p>
    <w:p w14:paraId="4AF5018B" w14:textId="66437660" w:rsidR="00EA5CCA" w:rsidRPr="0001799F" w:rsidRDefault="00C9589F" w:rsidP="00C9589F">
      <w:pPr>
        <w:pStyle w:val="StandardWeb"/>
        <w:spacing w:before="0" w:beforeAutospacing="0" w:after="0" w:afterAutospacing="0"/>
        <w:contextualSpacing/>
        <w:jc w:val="both"/>
      </w:pPr>
      <w:r w:rsidRPr="0001799F">
        <w:t xml:space="preserve">- </w:t>
      </w:r>
      <w:r w:rsidR="00EA5CCA" w:rsidRPr="0001799F">
        <w:t>Sudjelovanje u izradi scenarija za određene rizike,</w:t>
      </w:r>
    </w:p>
    <w:p w14:paraId="34490A96" w14:textId="232FE2F7" w:rsidR="00EA5CCA" w:rsidRPr="0001799F" w:rsidRDefault="00C9589F" w:rsidP="00C9589F">
      <w:pPr>
        <w:pStyle w:val="StandardWeb"/>
        <w:spacing w:before="0" w:beforeAutospacing="0" w:after="0" w:afterAutospacing="0"/>
        <w:contextualSpacing/>
        <w:jc w:val="both"/>
      </w:pPr>
      <w:r w:rsidRPr="0001799F">
        <w:t xml:space="preserve">- </w:t>
      </w:r>
      <w:r w:rsidR="00EA5CCA" w:rsidRPr="0001799F">
        <w:t>Odgovorni su za vjerodostojnost podataka iz svoje nadležnosti,</w:t>
      </w:r>
    </w:p>
    <w:p w14:paraId="7127F534" w14:textId="24C67CB3" w:rsidR="00EA5CCA" w:rsidRPr="0001799F" w:rsidRDefault="00C9589F" w:rsidP="00C9589F">
      <w:pPr>
        <w:pStyle w:val="StandardWeb"/>
        <w:spacing w:before="0" w:beforeAutospacing="0" w:after="0" w:afterAutospacing="0"/>
        <w:ind w:left="170" w:hanging="170"/>
        <w:contextualSpacing/>
        <w:jc w:val="both"/>
      </w:pPr>
      <w:r w:rsidRPr="0001799F">
        <w:t xml:space="preserve">- </w:t>
      </w:r>
      <w:r w:rsidR="00EA5CCA" w:rsidRPr="0001799F">
        <w:t>Sud</w:t>
      </w:r>
      <w:r w:rsidR="008722BD" w:rsidRPr="0001799F">
        <w:t>jelovanje u analizi i vrednovanju</w:t>
      </w:r>
      <w:r w:rsidR="00EA5CCA" w:rsidRPr="0001799F">
        <w:t xml:space="preserve"> onog rizika za koji su prema Prilogu 1.ove Odluke utvrđeni nositeljem</w:t>
      </w:r>
      <w:r w:rsidR="008722BD" w:rsidRPr="0001799F">
        <w:t>,</w:t>
      </w:r>
    </w:p>
    <w:p w14:paraId="24F6CE7E" w14:textId="6645BD93" w:rsidR="00EA5CCA" w:rsidRPr="0001799F" w:rsidRDefault="00C9589F" w:rsidP="00C9589F">
      <w:pPr>
        <w:pStyle w:val="StandardWeb"/>
        <w:spacing w:before="0" w:beforeAutospacing="0" w:after="0" w:afterAutospacing="0"/>
        <w:ind w:left="170" w:hanging="170"/>
        <w:contextualSpacing/>
        <w:jc w:val="both"/>
      </w:pPr>
      <w:r w:rsidRPr="0001799F">
        <w:t xml:space="preserve">- </w:t>
      </w:r>
      <w:r w:rsidR="00E70A0F" w:rsidRPr="0001799F">
        <w:t xml:space="preserve">Kontaktiraju s nadležnim tijelima državne uprave i pravnim osobama </w:t>
      </w:r>
      <w:r w:rsidR="00CD49B2" w:rsidRPr="0001799F">
        <w:t>u svrhu prikupljanja podataka z</w:t>
      </w:r>
      <w:r w:rsidR="00AA6BA6" w:rsidRPr="0001799F">
        <w:t>a analiziranje i vrednovanje rizika</w:t>
      </w:r>
      <w:r w:rsidR="008722BD" w:rsidRPr="0001799F">
        <w:t>,</w:t>
      </w:r>
    </w:p>
    <w:p w14:paraId="2B5C8254" w14:textId="6BC7D789" w:rsidR="00AA6BA6" w:rsidRPr="0001799F" w:rsidRDefault="00C9589F" w:rsidP="00C9589F">
      <w:pPr>
        <w:pStyle w:val="StandardWeb"/>
        <w:spacing w:before="0" w:beforeAutospacing="0" w:after="0" w:afterAutospacing="0"/>
        <w:contextualSpacing/>
        <w:jc w:val="both"/>
      </w:pPr>
      <w:r w:rsidRPr="0001799F">
        <w:t xml:space="preserve">- </w:t>
      </w:r>
      <w:r w:rsidR="00AA6BA6" w:rsidRPr="0001799F">
        <w:t>Redovito obavještavaju koordinatora o tijeku prikupljanja podataka</w:t>
      </w:r>
      <w:r w:rsidR="008722BD" w:rsidRPr="0001799F">
        <w:t>,</w:t>
      </w:r>
    </w:p>
    <w:p w14:paraId="1700A018" w14:textId="65300BFC" w:rsidR="00AA6BA6" w:rsidRPr="0001799F" w:rsidRDefault="00C9589F" w:rsidP="00C9589F">
      <w:pPr>
        <w:pStyle w:val="StandardWeb"/>
        <w:spacing w:before="0" w:beforeAutospacing="0" w:after="0" w:afterAutospacing="0"/>
        <w:contextualSpacing/>
        <w:jc w:val="both"/>
      </w:pPr>
      <w:r w:rsidRPr="0001799F">
        <w:t xml:space="preserve">- </w:t>
      </w:r>
      <w:r w:rsidR="00AA6BA6" w:rsidRPr="0001799F">
        <w:t>Dostavljanju koordinatoru sve potreb</w:t>
      </w:r>
      <w:r w:rsidR="008722BD" w:rsidRPr="0001799F">
        <w:t>ne podatke i surađuju na izradi Procjene rizika.</w:t>
      </w:r>
    </w:p>
    <w:p w14:paraId="208A494B" w14:textId="77777777" w:rsidR="00C9589F" w:rsidRPr="0001799F" w:rsidRDefault="00C9589F" w:rsidP="00C9589F">
      <w:pPr>
        <w:pStyle w:val="StandardWeb"/>
        <w:contextualSpacing/>
        <w:jc w:val="center"/>
        <w:rPr>
          <w:b/>
        </w:rPr>
      </w:pPr>
    </w:p>
    <w:p w14:paraId="1E3D7180" w14:textId="77777777" w:rsidR="00C9589F" w:rsidRPr="0001799F" w:rsidRDefault="00C9589F" w:rsidP="00C9589F">
      <w:pPr>
        <w:pStyle w:val="StandardWeb"/>
        <w:contextualSpacing/>
        <w:jc w:val="center"/>
        <w:rPr>
          <w:b/>
        </w:rPr>
      </w:pPr>
    </w:p>
    <w:p w14:paraId="1C79C5F9" w14:textId="742A8501" w:rsidR="00696F32" w:rsidRPr="0001799F" w:rsidRDefault="005A57E5" w:rsidP="00C9589F">
      <w:pPr>
        <w:pStyle w:val="StandardWeb"/>
        <w:contextualSpacing/>
        <w:jc w:val="center"/>
        <w:rPr>
          <w:b/>
        </w:rPr>
      </w:pPr>
      <w:r w:rsidRPr="0001799F">
        <w:rPr>
          <w:b/>
        </w:rPr>
        <w:t>Članak 6</w:t>
      </w:r>
      <w:r w:rsidR="00696F32" w:rsidRPr="0001799F">
        <w:rPr>
          <w:b/>
        </w:rPr>
        <w:t>.</w:t>
      </w:r>
    </w:p>
    <w:p w14:paraId="2ED83700" w14:textId="77777777" w:rsidR="00C9589F" w:rsidRPr="0001799F" w:rsidRDefault="00AA6BA6" w:rsidP="00C9589F">
      <w:pPr>
        <w:pStyle w:val="StandardWeb"/>
        <w:spacing w:before="0" w:beforeAutospacing="0" w:after="120" w:afterAutospacing="0"/>
        <w:contextualSpacing/>
      </w:pPr>
      <w:r w:rsidRPr="0001799F">
        <w:t>Obaveze izvršitelja:</w:t>
      </w:r>
    </w:p>
    <w:p w14:paraId="6E7E122E" w14:textId="77777777" w:rsidR="00C9589F" w:rsidRPr="0001799F" w:rsidRDefault="00C9589F" w:rsidP="00C9589F">
      <w:pPr>
        <w:pStyle w:val="StandardWeb"/>
        <w:spacing w:before="0" w:beforeAutospacing="0" w:after="120" w:afterAutospacing="0"/>
        <w:contextualSpacing/>
      </w:pPr>
      <w:r w:rsidRPr="0001799F">
        <w:t xml:space="preserve">- </w:t>
      </w:r>
      <w:r w:rsidR="00AA6BA6" w:rsidRPr="0001799F">
        <w:t>Prikupljaju</w:t>
      </w:r>
      <w:r w:rsidR="008722BD" w:rsidRPr="0001799F">
        <w:t xml:space="preserve"> podatke za analizu i vrednovanje</w:t>
      </w:r>
      <w:r w:rsidR="00AA6BA6" w:rsidRPr="0001799F">
        <w:t xml:space="preserve"> rizika</w:t>
      </w:r>
      <w:r w:rsidR="008722BD" w:rsidRPr="0001799F">
        <w:t>,</w:t>
      </w:r>
    </w:p>
    <w:p w14:paraId="6D70181F" w14:textId="77777777" w:rsidR="00C9589F" w:rsidRPr="0001799F" w:rsidRDefault="00C9589F" w:rsidP="00C9589F">
      <w:pPr>
        <w:pStyle w:val="StandardWeb"/>
        <w:spacing w:before="0" w:beforeAutospacing="0" w:after="120" w:afterAutospacing="0"/>
        <w:contextualSpacing/>
      </w:pPr>
      <w:r w:rsidRPr="0001799F">
        <w:t xml:space="preserve">- </w:t>
      </w:r>
      <w:r w:rsidR="00AA6BA6" w:rsidRPr="0001799F">
        <w:t>Sudjeluju u izradi scenarija za pojedini rizik</w:t>
      </w:r>
      <w:r w:rsidR="008722BD" w:rsidRPr="0001799F">
        <w:t>,</w:t>
      </w:r>
    </w:p>
    <w:p w14:paraId="262AE952" w14:textId="21652228" w:rsidR="00AA6BA6" w:rsidRPr="0001799F" w:rsidRDefault="00C9589F" w:rsidP="00C9589F">
      <w:pPr>
        <w:pStyle w:val="StandardWeb"/>
        <w:spacing w:before="0" w:beforeAutospacing="0" w:after="120" w:afterAutospacing="0"/>
        <w:ind w:left="170" w:hanging="170"/>
        <w:contextualSpacing/>
      </w:pPr>
      <w:r w:rsidRPr="0001799F">
        <w:t xml:space="preserve">- </w:t>
      </w:r>
      <w:r w:rsidR="00AA6BA6" w:rsidRPr="0001799F">
        <w:t>U Nacrtu prijedloga procjene rizika od velikih nesreća za</w:t>
      </w:r>
      <w:r w:rsidR="000D282A" w:rsidRPr="0001799F">
        <w:t xml:space="preserve"> Grad Ivanec</w:t>
      </w:r>
      <w:r w:rsidR="00A44330" w:rsidRPr="0001799F">
        <w:t xml:space="preserve"> </w:t>
      </w:r>
      <w:r w:rsidR="00AA6BA6" w:rsidRPr="0001799F">
        <w:t>daju mišljenje na: analizu sustava civilne zaštite, vrednovanje rizika, matrice i karte prijetnji i karte rizika.</w:t>
      </w:r>
    </w:p>
    <w:p w14:paraId="0B71476F" w14:textId="77777777" w:rsidR="00C9589F" w:rsidRPr="0001799F" w:rsidRDefault="00C9589F" w:rsidP="00C9589F">
      <w:pPr>
        <w:pStyle w:val="StandardWeb"/>
        <w:spacing w:before="120" w:beforeAutospacing="0" w:after="120" w:afterAutospacing="0"/>
        <w:contextualSpacing/>
        <w:jc w:val="center"/>
        <w:rPr>
          <w:b/>
        </w:rPr>
      </w:pPr>
    </w:p>
    <w:p w14:paraId="663A653A" w14:textId="77777777" w:rsidR="00C9589F" w:rsidRPr="0001799F" w:rsidRDefault="00C9589F" w:rsidP="00C9589F">
      <w:pPr>
        <w:pStyle w:val="StandardWeb"/>
        <w:spacing w:before="120" w:beforeAutospacing="0" w:after="120" w:afterAutospacing="0"/>
        <w:contextualSpacing/>
        <w:jc w:val="center"/>
        <w:rPr>
          <w:b/>
        </w:rPr>
      </w:pPr>
    </w:p>
    <w:p w14:paraId="5745BF09" w14:textId="13CE23A6" w:rsidR="00184E57" w:rsidRPr="0001799F" w:rsidRDefault="00184E57" w:rsidP="00C9589F">
      <w:pPr>
        <w:pStyle w:val="StandardWeb"/>
        <w:spacing w:before="120" w:beforeAutospacing="0" w:after="120" w:afterAutospacing="0"/>
        <w:contextualSpacing/>
        <w:jc w:val="center"/>
        <w:rPr>
          <w:b/>
        </w:rPr>
      </w:pPr>
      <w:r w:rsidRPr="0001799F">
        <w:rPr>
          <w:b/>
        </w:rPr>
        <w:t>Članak 7.</w:t>
      </w:r>
    </w:p>
    <w:p w14:paraId="29BEAAB7" w14:textId="6643B74D" w:rsidR="00184E57" w:rsidRPr="0001799F" w:rsidRDefault="00184E57" w:rsidP="00C9589F">
      <w:pPr>
        <w:pStyle w:val="StandardWeb"/>
        <w:spacing w:before="0" w:beforeAutospacing="0" w:after="0" w:afterAutospacing="0"/>
        <w:contextualSpacing/>
        <w:jc w:val="both"/>
      </w:pPr>
      <w:r w:rsidRPr="0001799F">
        <w:t xml:space="preserve">Nositelj i glavni koordinator izrade Procjene rizika od velikih nesreća za </w:t>
      </w:r>
      <w:r w:rsidR="00BD1477" w:rsidRPr="0001799F">
        <w:t xml:space="preserve">Grad Ivanec je gradonačelnik Grada Ivanca. </w:t>
      </w:r>
      <w:r w:rsidRPr="0001799F">
        <w:t xml:space="preserve"> </w:t>
      </w:r>
    </w:p>
    <w:p w14:paraId="651EEF4F" w14:textId="77777777" w:rsidR="00C9589F" w:rsidRPr="0001799F" w:rsidRDefault="00C9589F" w:rsidP="00C9589F">
      <w:pPr>
        <w:pStyle w:val="StandardWeb"/>
        <w:spacing w:before="120" w:beforeAutospacing="0" w:after="120" w:afterAutospacing="0"/>
        <w:contextualSpacing/>
        <w:jc w:val="center"/>
        <w:rPr>
          <w:b/>
        </w:rPr>
      </w:pPr>
    </w:p>
    <w:p w14:paraId="51D2D4CA" w14:textId="694A5EAD" w:rsidR="00362336" w:rsidRPr="0001799F" w:rsidRDefault="00184E57" w:rsidP="00C9589F">
      <w:pPr>
        <w:pStyle w:val="StandardWeb"/>
        <w:spacing w:before="120" w:beforeAutospacing="0" w:after="120" w:afterAutospacing="0"/>
        <w:contextualSpacing/>
        <w:jc w:val="center"/>
        <w:rPr>
          <w:b/>
        </w:rPr>
      </w:pPr>
      <w:r w:rsidRPr="0001799F">
        <w:rPr>
          <w:b/>
        </w:rPr>
        <w:lastRenderedPageBreak/>
        <w:t>Članak 8</w:t>
      </w:r>
      <w:r w:rsidR="00E041CC" w:rsidRPr="0001799F">
        <w:rPr>
          <w:b/>
        </w:rPr>
        <w:t>.</w:t>
      </w:r>
    </w:p>
    <w:p w14:paraId="203A31E9" w14:textId="742F96A7" w:rsidR="00362336" w:rsidRPr="0001799F" w:rsidRDefault="00BD1477" w:rsidP="00C9589F">
      <w:pPr>
        <w:pStyle w:val="StandardWeb"/>
        <w:spacing w:before="0" w:beforeAutospacing="0" w:after="0" w:afterAutospacing="0"/>
        <w:contextualSpacing/>
        <w:jc w:val="both"/>
      </w:pPr>
      <w:r w:rsidRPr="0001799F">
        <w:t xml:space="preserve">Gradonačelnik Grada Ivanca </w:t>
      </w:r>
      <w:r w:rsidR="00E041CC" w:rsidRPr="0001799F">
        <w:t xml:space="preserve">dostavlja </w:t>
      </w:r>
      <w:r w:rsidR="00A34EB0" w:rsidRPr="0001799F">
        <w:t xml:space="preserve">nacrt </w:t>
      </w:r>
      <w:r w:rsidR="00D7362E" w:rsidRPr="0001799F">
        <w:t>Procjene rizika od velike</w:t>
      </w:r>
      <w:r w:rsidR="00F368C6" w:rsidRPr="0001799F">
        <w:t xml:space="preserve"> nesreće </w:t>
      </w:r>
      <w:r w:rsidRPr="0001799F">
        <w:t>Gradskom vijeću Grada Ivanca</w:t>
      </w:r>
      <w:r w:rsidR="00E041CC" w:rsidRPr="0001799F">
        <w:t xml:space="preserve"> radi donošenja.</w:t>
      </w:r>
    </w:p>
    <w:p w14:paraId="2ACACD3C" w14:textId="77777777" w:rsidR="00C9589F" w:rsidRPr="0001799F" w:rsidRDefault="00C9589F" w:rsidP="00C9589F">
      <w:pPr>
        <w:pStyle w:val="StandardWeb"/>
        <w:spacing w:before="120" w:beforeAutospacing="0" w:after="120" w:afterAutospacing="0"/>
        <w:contextualSpacing/>
        <w:jc w:val="center"/>
        <w:rPr>
          <w:b/>
        </w:rPr>
      </w:pPr>
    </w:p>
    <w:p w14:paraId="75CBCC4C" w14:textId="77777777" w:rsidR="00C9589F" w:rsidRPr="0001799F" w:rsidRDefault="00C9589F" w:rsidP="00C9589F">
      <w:pPr>
        <w:pStyle w:val="StandardWeb"/>
        <w:spacing w:before="120" w:beforeAutospacing="0" w:after="120" w:afterAutospacing="0"/>
        <w:contextualSpacing/>
        <w:jc w:val="center"/>
        <w:rPr>
          <w:b/>
        </w:rPr>
      </w:pPr>
    </w:p>
    <w:p w14:paraId="61EB5C32" w14:textId="41305222" w:rsidR="00696F32" w:rsidRPr="0001799F" w:rsidRDefault="00184E57" w:rsidP="00C9589F">
      <w:pPr>
        <w:pStyle w:val="StandardWeb"/>
        <w:spacing w:before="120" w:beforeAutospacing="0" w:after="120" w:afterAutospacing="0"/>
        <w:contextualSpacing/>
        <w:jc w:val="center"/>
        <w:rPr>
          <w:b/>
        </w:rPr>
      </w:pPr>
      <w:r w:rsidRPr="0001799F">
        <w:rPr>
          <w:b/>
        </w:rPr>
        <w:t>Članak 9</w:t>
      </w:r>
      <w:r w:rsidR="00696F32" w:rsidRPr="0001799F">
        <w:rPr>
          <w:b/>
        </w:rPr>
        <w:t>.</w:t>
      </w:r>
    </w:p>
    <w:p w14:paraId="1D3CDB88" w14:textId="77777777" w:rsidR="00696F32" w:rsidRPr="0001799F" w:rsidRDefault="00696F32" w:rsidP="00C9589F">
      <w:pPr>
        <w:pStyle w:val="StandardWeb"/>
        <w:spacing w:before="0" w:beforeAutospacing="0" w:after="0" w:afterAutospacing="0"/>
        <w:contextualSpacing/>
        <w:jc w:val="both"/>
      </w:pPr>
      <w:r w:rsidRPr="0001799F">
        <w:t>Ova Odluka</w:t>
      </w:r>
      <w:r w:rsidR="008449E7" w:rsidRPr="0001799F">
        <w:t xml:space="preserve"> stupa na snagu </w:t>
      </w:r>
      <w:r w:rsidR="00E041CC" w:rsidRPr="0001799F">
        <w:t>danom donošenja.</w:t>
      </w:r>
      <w:r w:rsidR="00DD1A0D" w:rsidRPr="0001799F">
        <w:t xml:space="preserve"> </w:t>
      </w:r>
    </w:p>
    <w:p w14:paraId="2B5C1054" w14:textId="575397B8" w:rsidR="00F042EF" w:rsidRPr="0001799F" w:rsidRDefault="005A57E5" w:rsidP="00C9589F">
      <w:pPr>
        <w:contextualSpacing/>
        <w:jc w:val="both"/>
      </w:pPr>
      <w:r w:rsidRPr="0001799F">
        <w:tab/>
      </w:r>
      <w:r w:rsidRPr="0001799F">
        <w:tab/>
      </w:r>
      <w:r w:rsidRPr="0001799F">
        <w:tab/>
      </w:r>
      <w:r w:rsidRPr="0001799F">
        <w:tab/>
      </w:r>
      <w:r w:rsidR="00F042EF" w:rsidRPr="0001799F">
        <w:t xml:space="preserve">       </w:t>
      </w:r>
    </w:p>
    <w:p w14:paraId="05EB374B" w14:textId="266979AB" w:rsidR="00F042EF" w:rsidRPr="0001799F" w:rsidRDefault="00F042EF" w:rsidP="00C9589F">
      <w:pPr>
        <w:contextualSpacing/>
      </w:pPr>
    </w:p>
    <w:p w14:paraId="376D6AEA" w14:textId="7BAB6C05" w:rsidR="00C9589F" w:rsidRPr="0001799F" w:rsidRDefault="00C9589F" w:rsidP="00C9589F">
      <w:pPr>
        <w:contextualSpacing/>
      </w:pPr>
    </w:p>
    <w:p w14:paraId="7A5BF3EC" w14:textId="34A9AB88" w:rsidR="00C9589F" w:rsidRPr="0001799F" w:rsidRDefault="00C9589F" w:rsidP="00C9589F">
      <w:pPr>
        <w:contextualSpacing/>
      </w:pPr>
    </w:p>
    <w:p w14:paraId="6C26518D" w14:textId="77777777" w:rsidR="00C9589F" w:rsidRPr="0001799F" w:rsidRDefault="00C9589F" w:rsidP="00C9589F">
      <w:pPr>
        <w:contextualSpacing/>
      </w:pPr>
    </w:p>
    <w:p w14:paraId="7DFBACD7" w14:textId="19C2E19F" w:rsidR="00F042EF" w:rsidRPr="0001799F" w:rsidRDefault="00BD1477" w:rsidP="00C9589F">
      <w:pPr>
        <w:ind w:left="4248" w:right="480"/>
        <w:contextualSpacing/>
        <w:rPr>
          <w:b/>
        </w:rPr>
      </w:pPr>
      <w:r w:rsidRPr="0001799F">
        <w:rPr>
          <w:b/>
        </w:rPr>
        <w:t xml:space="preserve">                   </w:t>
      </w:r>
      <w:r w:rsidR="00C9589F" w:rsidRPr="0001799F">
        <w:rPr>
          <w:b/>
        </w:rPr>
        <w:t xml:space="preserve">                        </w:t>
      </w:r>
    </w:p>
    <w:p w14:paraId="3B22AA58" w14:textId="7AC47561" w:rsidR="00F042EF" w:rsidRPr="0001799F" w:rsidRDefault="00F368C6" w:rsidP="00C9589F">
      <w:pPr>
        <w:contextualSpacing/>
      </w:pPr>
      <w:r w:rsidRPr="0001799F">
        <w:t xml:space="preserve">                                                                                   </w:t>
      </w:r>
      <w:r w:rsidR="00DD1A0D" w:rsidRPr="0001799F">
        <w:t xml:space="preserve">   </w:t>
      </w:r>
      <w:r w:rsidR="00A34EB0" w:rsidRPr="0001799F">
        <w:t xml:space="preserve">                     </w:t>
      </w:r>
      <w:r w:rsidR="00BD1477" w:rsidRPr="0001799F">
        <w:t xml:space="preserve">   </w:t>
      </w:r>
      <w:r w:rsidR="00C9589F" w:rsidRPr="0001799F">
        <w:t xml:space="preserve">    </w:t>
      </w:r>
      <w:r w:rsidRPr="0001799F">
        <w:t xml:space="preserve"> </w:t>
      </w:r>
      <w:r w:rsidR="00C9589F" w:rsidRPr="0001799F">
        <w:t xml:space="preserve">           </w:t>
      </w:r>
      <w:r w:rsidR="00BD1477" w:rsidRPr="0001799F">
        <w:t xml:space="preserve">Gradonačelnik </w:t>
      </w:r>
    </w:p>
    <w:p w14:paraId="3BEDBDB9" w14:textId="3D59A9DE" w:rsidR="005A57E5" w:rsidRPr="0001799F" w:rsidRDefault="00F042EF" w:rsidP="00C9589F">
      <w:pPr>
        <w:tabs>
          <w:tab w:val="left" w:pos="1617"/>
        </w:tabs>
        <w:contextualSpacing/>
      </w:pPr>
      <w:r w:rsidRPr="0001799F">
        <w:tab/>
      </w:r>
      <w:r w:rsidR="00A44330" w:rsidRPr="0001799F">
        <w:t xml:space="preserve"> </w:t>
      </w:r>
      <w:r w:rsidR="00A44330" w:rsidRPr="0001799F">
        <w:tab/>
      </w:r>
      <w:r w:rsidR="00A44330" w:rsidRPr="0001799F">
        <w:tab/>
      </w:r>
      <w:r w:rsidR="00A44330" w:rsidRPr="0001799F">
        <w:tab/>
      </w:r>
      <w:r w:rsidR="00A44330" w:rsidRPr="0001799F">
        <w:tab/>
      </w:r>
      <w:r w:rsidR="00A44330" w:rsidRPr="0001799F">
        <w:tab/>
      </w:r>
      <w:r w:rsidR="00C9589F" w:rsidRPr="0001799F">
        <w:t xml:space="preserve">                                           Milorad Batinić</w:t>
      </w:r>
    </w:p>
    <w:p w14:paraId="2A942E30" w14:textId="77777777" w:rsidR="00F042EF" w:rsidRPr="0001799F" w:rsidRDefault="00F042EF" w:rsidP="00C9589F">
      <w:pPr>
        <w:tabs>
          <w:tab w:val="left" w:pos="1617"/>
        </w:tabs>
        <w:contextualSpacing/>
      </w:pPr>
    </w:p>
    <w:p w14:paraId="11BCA1F6" w14:textId="77777777" w:rsidR="00F042EF" w:rsidRPr="0001799F" w:rsidRDefault="00F042EF" w:rsidP="00C9589F">
      <w:pPr>
        <w:tabs>
          <w:tab w:val="left" w:pos="1617"/>
        </w:tabs>
        <w:contextualSpacing/>
      </w:pPr>
    </w:p>
    <w:p w14:paraId="0C9E0887" w14:textId="77777777" w:rsidR="00F042EF" w:rsidRPr="0001799F" w:rsidRDefault="00F042EF" w:rsidP="00C9589F">
      <w:pPr>
        <w:tabs>
          <w:tab w:val="left" w:pos="1617"/>
        </w:tabs>
        <w:contextualSpacing/>
      </w:pPr>
    </w:p>
    <w:p w14:paraId="25B9D253" w14:textId="77777777" w:rsidR="00F042EF" w:rsidRPr="0001799F" w:rsidRDefault="00F042EF" w:rsidP="00C9589F">
      <w:pPr>
        <w:tabs>
          <w:tab w:val="left" w:pos="1617"/>
        </w:tabs>
        <w:contextualSpacing/>
      </w:pPr>
    </w:p>
    <w:p w14:paraId="298C63CB" w14:textId="77777777" w:rsidR="00BD1477" w:rsidRPr="0001799F" w:rsidRDefault="00BD1477" w:rsidP="00C9589F">
      <w:pPr>
        <w:tabs>
          <w:tab w:val="left" w:pos="1617"/>
        </w:tabs>
        <w:contextualSpacing/>
        <w:sectPr w:rsidR="00BD1477" w:rsidRPr="000179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7888D4" w14:textId="5DD80C03" w:rsidR="0035176D" w:rsidRPr="0001799F" w:rsidRDefault="00F042EF" w:rsidP="00C9589F">
      <w:pPr>
        <w:tabs>
          <w:tab w:val="left" w:pos="1617"/>
        </w:tabs>
        <w:contextualSpacing/>
        <w:jc w:val="center"/>
        <w:rPr>
          <w:b/>
        </w:rPr>
      </w:pPr>
      <w:bookmarkStart w:id="0" w:name="_Hlk64885202"/>
      <w:r w:rsidRPr="0001799F">
        <w:rPr>
          <w:b/>
        </w:rPr>
        <w:lastRenderedPageBreak/>
        <w:t>Prilog 1.  Popis rizika</w:t>
      </w:r>
      <w:r w:rsidR="007D17C9" w:rsidRPr="0001799F">
        <w:rPr>
          <w:b/>
        </w:rPr>
        <w:t xml:space="preserve"> koji će se obrađivati u Procjeni rizika </w:t>
      </w:r>
      <w:r w:rsidR="00053EDE" w:rsidRPr="0001799F">
        <w:rPr>
          <w:b/>
        </w:rPr>
        <w:t xml:space="preserve">temeljem Priloga </w:t>
      </w:r>
      <w:r w:rsidR="00A34EB0" w:rsidRPr="0001799F">
        <w:rPr>
          <w:b/>
        </w:rPr>
        <w:t>IX</w:t>
      </w:r>
      <w:r w:rsidR="00053EDE" w:rsidRPr="0001799F">
        <w:rPr>
          <w:b/>
        </w:rPr>
        <w:t xml:space="preserve">. Smjernica </w:t>
      </w:r>
      <w:r w:rsidRPr="0001799F">
        <w:rPr>
          <w:b/>
        </w:rPr>
        <w:t xml:space="preserve"> i</w:t>
      </w:r>
      <w:r w:rsidR="00053EDE" w:rsidRPr="0001799F">
        <w:rPr>
          <w:b/>
        </w:rPr>
        <w:t xml:space="preserve"> popis</w:t>
      </w:r>
      <w:r w:rsidRPr="0001799F">
        <w:rPr>
          <w:b/>
        </w:rPr>
        <w:t xml:space="preserve"> sudionika radne skupine</w:t>
      </w:r>
    </w:p>
    <w:p w14:paraId="4451C002" w14:textId="0F3FDC4E" w:rsidR="00C9589F" w:rsidRPr="0001799F" w:rsidRDefault="00C9589F" w:rsidP="00C9589F">
      <w:pPr>
        <w:tabs>
          <w:tab w:val="left" w:pos="1617"/>
        </w:tabs>
        <w:contextualSpacing/>
        <w:jc w:val="center"/>
        <w:rPr>
          <w:b/>
        </w:rPr>
      </w:pPr>
    </w:p>
    <w:p w14:paraId="1FF34C11" w14:textId="77777777" w:rsidR="00C9589F" w:rsidRPr="0001799F" w:rsidRDefault="00C9589F" w:rsidP="00C9589F">
      <w:pPr>
        <w:tabs>
          <w:tab w:val="left" w:pos="1617"/>
        </w:tabs>
        <w:contextualSpacing/>
        <w:jc w:val="center"/>
        <w:rPr>
          <w:b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502"/>
        <w:gridCol w:w="2063"/>
        <w:gridCol w:w="1985"/>
        <w:gridCol w:w="1915"/>
      </w:tblGrid>
      <w:tr w:rsidR="0057223B" w:rsidRPr="00B7472F" w14:paraId="5C0A6DD3" w14:textId="77777777" w:rsidTr="00995CF7">
        <w:trPr>
          <w:trHeight w:val="589"/>
          <w:jc w:val="center"/>
        </w:trPr>
        <w:tc>
          <w:tcPr>
            <w:tcW w:w="754" w:type="dxa"/>
            <w:vAlign w:val="center"/>
          </w:tcPr>
          <w:p w14:paraId="16012FDE" w14:textId="034C29E4" w:rsidR="0057223B" w:rsidRPr="00B7472F" w:rsidRDefault="00A34EB0" w:rsidP="00995CF7">
            <w:pPr>
              <w:tabs>
                <w:tab w:val="left" w:pos="161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7472F">
              <w:rPr>
                <w:b/>
                <w:sz w:val="22"/>
                <w:szCs w:val="22"/>
              </w:rPr>
              <w:t>R.B.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8D8F266" w14:textId="56BA294E" w:rsidR="0057223B" w:rsidRPr="00B7472F" w:rsidRDefault="00A34EB0" w:rsidP="00C9589F">
            <w:pPr>
              <w:tabs>
                <w:tab w:val="left" w:pos="161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7472F">
              <w:rPr>
                <w:b/>
                <w:sz w:val="22"/>
                <w:szCs w:val="22"/>
              </w:rPr>
              <w:t>POPIS RIZIKA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47C1F4EC" w14:textId="379DFADF" w:rsidR="0057223B" w:rsidRPr="00B7472F" w:rsidRDefault="00A34EB0" w:rsidP="00C9589F">
            <w:pPr>
              <w:tabs>
                <w:tab w:val="left" w:pos="161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7472F">
              <w:rPr>
                <w:b/>
                <w:sz w:val="22"/>
                <w:szCs w:val="22"/>
              </w:rPr>
              <w:t>KOORDINATOR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9C6F51" w14:textId="2CF44C41" w:rsidR="0057223B" w:rsidRPr="00B7472F" w:rsidRDefault="00A34EB0" w:rsidP="00C9589F">
            <w:pPr>
              <w:tabs>
                <w:tab w:val="left" w:pos="161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7472F">
              <w:rPr>
                <w:b/>
                <w:sz w:val="22"/>
                <w:szCs w:val="22"/>
              </w:rPr>
              <w:t>NOSITELJ/I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18A91DC" w14:textId="27CB64C6" w:rsidR="0057223B" w:rsidRPr="00B7472F" w:rsidRDefault="00A34EB0" w:rsidP="00C9589F">
            <w:pPr>
              <w:tabs>
                <w:tab w:val="left" w:pos="161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7472F">
              <w:rPr>
                <w:b/>
                <w:sz w:val="22"/>
                <w:szCs w:val="22"/>
              </w:rPr>
              <w:t>IZVRŠITELJ/I</w:t>
            </w:r>
          </w:p>
        </w:tc>
      </w:tr>
      <w:tr w:rsidR="00D30D02" w:rsidRPr="00B7472F" w14:paraId="20BAAE4D" w14:textId="77777777" w:rsidTr="00995CF7">
        <w:trPr>
          <w:trHeight w:val="921"/>
          <w:jc w:val="center"/>
        </w:trPr>
        <w:tc>
          <w:tcPr>
            <w:tcW w:w="754" w:type="dxa"/>
            <w:vAlign w:val="center"/>
          </w:tcPr>
          <w:p w14:paraId="61FB8FB0" w14:textId="1A0C515E" w:rsidR="00D30D02" w:rsidRPr="00B7472F" w:rsidRDefault="00995CF7" w:rsidP="00995CF7">
            <w:pPr>
              <w:tabs>
                <w:tab w:val="left" w:pos="1617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B7472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5C81F82" w14:textId="77777777" w:rsidR="00D30D02" w:rsidRPr="00B7472F" w:rsidRDefault="00D30D02" w:rsidP="00C9589F">
            <w:pPr>
              <w:tabs>
                <w:tab w:val="left" w:pos="161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7472F">
              <w:rPr>
                <w:b/>
                <w:sz w:val="22"/>
                <w:szCs w:val="22"/>
              </w:rPr>
              <w:t>Potres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C9417C7" w14:textId="417D543A" w:rsidR="00D30D02" w:rsidRPr="00B7472F" w:rsidRDefault="00BD1477" w:rsidP="00C9589F">
            <w:pPr>
              <w:tabs>
                <w:tab w:val="left" w:pos="1617"/>
              </w:tabs>
              <w:contextualSpacing/>
              <w:jc w:val="center"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Načelnik Stožera civilne zaštite Grada Ivanca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64DEFD" w14:textId="77777777" w:rsidR="00D30D02" w:rsidRPr="00B7472F" w:rsidRDefault="00910E85" w:rsidP="00C9589F">
            <w:pPr>
              <w:contextualSpacing/>
              <w:jc w:val="center"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Vatrogasna zajednica Grada Ivanca</w:t>
            </w:r>
          </w:p>
          <w:p w14:paraId="586126C0" w14:textId="45BEE28A" w:rsidR="00910E85" w:rsidRPr="00B7472F" w:rsidRDefault="00910E85" w:rsidP="00C9589F">
            <w:pPr>
              <w:contextualSpacing/>
              <w:jc w:val="center"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 xml:space="preserve">IVKOM </w:t>
            </w:r>
            <w:proofErr w:type="spellStart"/>
            <w:r w:rsidRPr="00B7472F">
              <w:rPr>
                <w:sz w:val="22"/>
                <w:szCs w:val="22"/>
              </w:rPr>
              <w:t>d.d</w:t>
            </w:r>
            <w:proofErr w:type="spellEnd"/>
            <w:r w:rsidRPr="00B7472F">
              <w:rPr>
                <w:sz w:val="22"/>
                <w:szCs w:val="22"/>
              </w:rPr>
              <w:t xml:space="preserve"> Ivanec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E80AF91" w14:textId="3A81AAC7" w:rsidR="00D30D02" w:rsidRPr="00B7472F" w:rsidRDefault="00B7472F" w:rsidP="00910E85">
            <w:pPr>
              <w:tabs>
                <w:tab w:val="left" w:pos="1617"/>
              </w:tabs>
              <w:contextualSpacing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 xml:space="preserve">- </w:t>
            </w:r>
            <w:r w:rsidR="00910E85" w:rsidRPr="00B7472F">
              <w:rPr>
                <w:sz w:val="22"/>
                <w:szCs w:val="22"/>
              </w:rPr>
              <w:t>DVD-i Vatrogasne zajednice Grada Ivanca</w:t>
            </w:r>
          </w:p>
          <w:p w14:paraId="3D323C77" w14:textId="4F068084" w:rsidR="00910E85" w:rsidRPr="00B7472F" w:rsidRDefault="00B7472F" w:rsidP="00910E85">
            <w:pPr>
              <w:tabs>
                <w:tab w:val="left" w:pos="1617"/>
              </w:tabs>
              <w:contextualSpacing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 xml:space="preserve">- </w:t>
            </w:r>
            <w:r w:rsidR="00910E85" w:rsidRPr="00B7472F">
              <w:rPr>
                <w:sz w:val="22"/>
                <w:szCs w:val="22"/>
              </w:rPr>
              <w:t xml:space="preserve">Gradsko društvo </w:t>
            </w:r>
            <w:r w:rsidRPr="00B7472F">
              <w:rPr>
                <w:sz w:val="22"/>
                <w:szCs w:val="22"/>
              </w:rPr>
              <w:t>C</w:t>
            </w:r>
            <w:r w:rsidR="00910E85" w:rsidRPr="00B7472F">
              <w:rPr>
                <w:sz w:val="22"/>
                <w:szCs w:val="22"/>
              </w:rPr>
              <w:t>rvenog križa Ivanec</w:t>
            </w:r>
          </w:p>
          <w:p w14:paraId="22187E86" w14:textId="65CF2130" w:rsidR="00910E85" w:rsidRPr="00B7472F" w:rsidRDefault="00B7472F" w:rsidP="00910E85">
            <w:pPr>
              <w:tabs>
                <w:tab w:val="left" w:pos="1617"/>
              </w:tabs>
              <w:contextualSpacing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 xml:space="preserve">- </w:t>
            </w:r>
            <w:r w:rsidR="00910E85" w:rsidRPr="00B7472F">
              <w:rPr>
                <w:sz w:val="22"/>
                <w:szCs w:val="22"/>
              </w:rPr>
              <w:t>Upravn</w:t>
            </w:r>
            <w:r w:rsidR="00464DAE">
              <w:rPr>
                <w:sz w:val="22"/>
                <w:szCs w:val="22"/>
              </w:rPr>
              <w:t>i</w:t>
            </w:r>
            <w:r w:rsidR="00910E85" w:rsidRPr="00B7472F">
              <w:rPr>
                <w:sz w:val="22"/>
                <w:szCs w:val="22"/>
              </w:rPr>
              <w:t xml:space="preserve"> odjel za urbanizam, komunalne poslove i zaštitu okoliša Grada Ivanca</w:t>
            </w:r>
          </w:p>
        </w:tc>
      </w:tr>
      <w:tr w:rsidR="00BD1477" w:rsidRPr="00B7472F" w14:paraId="7D2A22C4" w14:textId="77777777" w:rsidTr="00995CF7">
        <w:trPr>
          <w:trHeight w:val="921"/>
          <w:jc w:val="center"/>
        </w:trPr>
        <w:tc>
          <w:tcPr>
            <w:tcW w:w="754" w:type="dxa"/>
            <w:vAlign w:val="center"/>
          </w:tcPr>
          <w:p w14:paraId="6719255F" w14:textId="52F675FC" w:rsidR="00BD1477" w:rsidRPr="00B7472F" w:rsidRDefault="00995CF7" w:rsidP="00995CF7">
            <w:pPr>
              <w:tabs>
                <w:tab w:val="left" w:pos="1617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B7472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C5D5EA8" w14:textId="77777777" w:rsidR="00BD1477" w:rsidRPr="00B7472F" w:rsidRDefault="00BD1477" w:rsidP="00C9589F">
            <w:pPr>
              <w:tabs>
                <w:tab w:val="left" w:pos="161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7472F">
              <w:rPr>
                <w:b/>
                <w:sz w:val="22"/>
                <w:szCs w:val="22"/>
              </w:rPr>
              <w:t>Poplava izazvana izlijevanjem kopnenih vodenih tijela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060F6B2" w14:textId="529C7158" w:rsidR="00BD1477" w:rsidRPr="00B7472F" w:rsidRDefault="00BD1477" w:rsidP="00C9589F">
            <w:pPr>
              <w:tabs>
                <w:tab w:val="left" w:pos="1617"/>
              </w:tabs>
              <w:contextualSpacing/>
              <w:jc w:val="center"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Načelnik Stožera civilne zaštite Grada Ivanca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66C2E4" w14:textId="77777777" w:rsidR="00910E85" w:rsidRPr="00B7472F" w:rsidRDefault="00910E85" w:rsidP="00910E85">
            <w:pPr>
              <w:contextualSpacing/>
              <w:jc w:val="center"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Vatrogasna zajednica Grada Ivanca</w:t>
            </w:r>
          </w:p>
          <w:p w14:paraId="02E502EE" w14:textId="064F850A" w:rsidR="00BD1477" w:rsidRPr="00B7472F" w:rsidRDefault="00910E85" w:rsidP="00910E85">
            <w:pPr>
              <w:contextualSpacing/>
              <w:jc w:val="center"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 xml:space="preserve">IVKOM </w:t>
            </w:r>
            <w:proofErr w:type="spellStart"/>
            <w:r w:rsidRPr="00B7472F">
              <w:rPr>
                <w:sz w:val="22"/>
                <w:szCs w:val="22"/>
              </w:rPr>
              <w:t>d.d</w:t>
            </w:r>
            <w:proofErr w:type="spellEnd"/>
            <w:r w:rsidRPr="00B7472F">
              <w:rPr>
                <w:sz w:val="22"/>
                <w:szCs w:val="22"/>
              </w:rPr>
              <w:t xml:space="preserve"> Ivanec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CB42F55" w14:textId="77777777" w:rsidR="00B7472F" w:rsidRPr="00B7472F" w:rsidRDefault="00B7472F" w:rsidP="00B7472F">
            <w:pPr>
              <w:tabs>
                <w:tab w:val="left" w:pos="1617"/>
              </w:tabs>
              <w:contextualSpacing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- DVD-i Vatrogasne zajednice Grada Ivanca</w:t>
            </w:r>
          </w:p>
          <w:p w14:paraId="2788C6A4" w14:textId="2521CA75" w:rsidR="00B7472F" w:rsidRPr="00B7472F" w:rsidRDefault="00B7472F" w:rsidP="00B7472F">
            <w:pPr>
              <w:tabs>
                <w:tab w:val="left" w:pos="1617"/>
              </w:tabs>
              <w:contextualSpacing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- Gradsko društvo Crvenog križa Ivanec</w:t>
            </w:r>
          </w:p>
          <w:p w14:paraId="26AE0608" w14:textId="31D0A902" w:rsidR="00BD1477" w:rsidRPr="00B7472F" w:rsidRDefault="00B7472F" w:rsidP="00B7472F">
            <w:pPr>
              <w:tabs>
                <w:tab w:val="left" w:pos="1617"/>
              </w:tabs>
              <w:contextualSpacing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- Upravn</w:t>
            </w:r>
            <w:r w:rsidR="00464DAE">
              <w:rPr>
                <w:sz w:val="22"/>
                <w:szCs w:val="22"/>
              </w:rPr>
              <w:t>i</w:t>
            </w:r>
            <w:r w:rsidRPr="00B7472F">
              <w:rPr>
                <w:sz w:val="22"/>
                <w:szCs w:val="22"/>
              </w:rPr>
              <w:t xml:space="preserve"> odjel za urbanizam, komunalne poslove i zaštitu okoliša Grada Ivanca</w:t>
            </w:r>
          </w:p>
        </w:tc>
      </w:tr>
      <w:tr w:rsidR="00BD1477" w:rsidRPr="00B7472F" w14:paraId="10196621" w14:textId="77777777" w:rsidTr="00995CF7">
        <w:trPr>
          <w:trHeight w:val="921"/>
          <w:jc w:val="center"/>
        </w:trPr>
        <w:tc>
          <w:tcPr>
            <w:tcW w:w="754" w:type="dxa"/>
            <w:vAlign w:val="center"/>
          </w:tcPr>
          <w:p w14:paraId="45884225" w14:textId="622B5395" w:rsidR="00BD1477" w:rsidRPr="00B7472F" w:rsidRDefault="00995CF7" w:rsidP="00995CF7">
            <w:pPr>
              <w:tabs>
                <w:tab w:val="left" w:pos="1617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B7472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75E626E" w14:textId="14216F9C" w:rsidR="00BD1477" w:rsidRPr="00B7472F" w:rsidRDefault="00BD1477" w:rsidP="00C9589F">
            <w:pPr>
              <w:tabs>
                <w:tab w:val="left" w:pos="161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7472F">
              <w:rPr>
                <w:b/>
                <w:sz w:val="22"/>
                <w:szCs w:val="22"/>
              </w:rPr>
              <w:t>Epidemije i pandemije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AF2D966" w14:textId="56B5136F" w:rsidR="00BD1477" w:rsidRPr="00B7472F" w:rsidRDefault="00BD1477" w:rsidP="00C9589F">
            <w:pPr>
              <w:tabs>
                <w:tab w:val="left" w:pos="1617"/>
              </w:tabs>
              <w:contextualSpacing/>
              <w:jc w:val="center"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Načelnik Stožera civilne zaštite Grada Ivanca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8AE3CF" w14:textId="31BBE8C2" w:rsidR="00BD1477" w:rsidRPr="00B7472F" w:rsidRDefault="00910E85" w:rsidP="00C9589F">
            <w:pPr>
              <w:contextualSpacing/>
              <w:jc w:val="center"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Dom zdravlja Varaždinske županije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35FA36C" w14:textId="77777777" w:rsidR="00BD1477" w:rsidRPr="00B7472F" w:rsidRDefault="00B7472F" w:rsidP="00910E85">
            <w:pPr>
              <w:tabs>
                <w:tab w:val="left" w:pos="1617"/>
              </w:tabs>
              <w:contextualSpacing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- Gradsko društvo Crvenog križa Ivanec</w:t>
            </w:r>
          </w:p>
          <w:p w14:paraId="78528085" w14:textId="5F9A495E" w:rsidR="00B7472F" w:rsidRPr="00B7472F" w:rsidRDefault="00B7472F" w:rsidP="00910E85">
            <w:pPr>
              <w:tabs>
                <w:tab w:val="left" w:pos="1617"/>
              </w:tabs>
              <w:contextualSpacing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- Policijska postaja Ivanec</w:t>
            </w:r>
          </w:p>
        </w:tc>
      </w:tr>
      <w:tr w:rsidR="00BD1477" w:rsidRPr="00B7472F" w14:paraId="4BE489F6" w14:textId="77777777" w:rsidTr="00995CF7">
        <w:trPr>
          <w:trHeight w:val="921"/>
          <w:jc w:val="center"/>
        </w:trPr>
        <w:tc>
          <w:tcPr>
            <w:tcW w:w="754" w:type="dxa"/>
            <w:vAlign w:val="center"/>
          </w:tcPr>
          <w:p w14:paraId="044ACB34" w14:textId="324AC235" w:rsidR="00BD1477" w:rsidRPr="00B7472F" w:rsidRDefault="00995CF7" w:rsidP="00995CF7">
            <w:pPr>
              <w:tabs>
                <w:tab w:val="left" w:pos="1617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B7472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68E7FB2" w14:textId="22C5D28B" w:rsidR="00BD1477" w:rsidRPr="00B7472F" w:rsidRDefault="00BD1477" w:rsidP="00C9589F">
            <w:pPr>
              <w:tabs>
                <w:tab w:val="left" w:pos="161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7472F">
              <w:rPr>
                <w:b/>
                <w:sz w:val="22"/>
                <w:szCs w:val="22"/>
              </w:rPr>
              <w:t>Ekstremne temperature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BB87B02" w14:textId="7BB77AB0" w:rsidR="00BD1477" w:rsidRPr="00B7472F" w:rsidRDefault="00BD1477" w:rsidP="00C9589F">
            <w:pPr>
              <w:tabs>
                <w:tab w:val="left" w:pos="1617"/>
              </w:tabs>
              <w:contextualSpacing/>
              <w:jc w:val="center"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Načelnik Stožera civilne zaštite Grada Ivanca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CA30D" w14:textId="77777777" w:rsidR="00BD1477" w:rsidRPr="00B7472F" w:rsidRDefault="00910E85" w:rsidP="00C9589F">
            <w:pPr>
              <w:contextualSpacing/>
              <w:jc w:val="center"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Dom zdravlja Varaždinske županije</w:t>
            </w:r>
          </w:p>
          <w:p w14:paraId="5F53BEC9" w14:textId="5CD10EA9" w:rsidR="00910E85" w:rsidRPr="00B7472F" w:rsidRDefault="00910E85" w:rsidP="00C9589F">
            <w:pPr>
              <w:contextualSpacing/>
              <w:jc w:val="center"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Vatrogasna zajednica Grada Ivanca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A23EFCC" w14:textId="1FBB65D1" w:rsidR="00BD1477" w:rsidRPr="00B7472F" w:rsidRDefault="00B7472F" w:rsidP="00910E85">
            <w:pPr>
              <w:contextualSpacing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- Gradsko društvo Crvenog križa Ivanec</w:t>
            </w:r>
          </w:p>
          <w:p w14:paraId="2ACB14AA" w14:textId="139750F4" w:rsidR="00B7472F" w:rsidRPr="00B7472F" w:rsidRDefault="00B7472F" w:rsidP="00B7472F">
            <w:pPr>
              <w:tabs>
                <w:tab w:val="left" w:pos="1617"/>
              </w:tabs>
              <w:contextualSpacing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- DVD-i Vatrogasne zajednice Grada Ivanca</w:t>
            </w:r>
          </w:p>
        </w:tc>
      </w:tr>
      <w:tr w:rsidR="00BD1477" w:rsidRPr="00B7472F" w14:paraId="04C697DF" w14:textId="77777777" w:rsidTr="00995CF7">
        <w:trPr>
          <w:trHeight w:val="963"/>
          <w:jc w:val="center"/>
        </w:trPr>
        <w:tc>
          <w:tcPr>
            <w:tcW w:w="754" w:type="dxa"/>
            <w:vAlign w:val="center"/>
          </w:tcPr>
          <w:p w14:paraId="625340E6" w14:textId="72D7C4F5" w:rsidR="00BD1477" w:rsidRPr="00B7472F" w:rsidRDefault="00995CF7" w:rsidP="00995CF7">
            <w:pPr>
              <w:tabs>
                <w:tab w:val="left" w:pos="1617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B7472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0398473" w14:textId="461B0276" w:rsidR="00BD1477" w:rsidRPr="00B7472F" w:rsidRDefault="00BD1477" w:rsidP="00C9589F">
            <w:pPr>
              <w:tabs>
                <w:tab w:val="left" w:pos="161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7472F">
              <w:rPr>
                <w:b/>
                <w:sz w:val="22"/>
                <w:szCs w:val="22"/>
              </w:rPr>
              <w:t>Industrijske nesreće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ED3E3F5" w14:textId="48EAAB52" w:rsidR="00BD1477" w:rsidRPr="00B7472F" w:rsidRDefault="00BD1477" w:rsidP="00C9589F">
            <w:pPr>
              <w:contextualSpacing/>
              <w:jc w:val="center"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Načelnik Stožera civilne zaštite Grada Ivanca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6DA29D" w14:textId="77777777" w:rsidR="00910E85" w:rsidRPr="00B7472F" w:rsidRDefault="00910E85" w:rsidP="00910E85">
            <w:pPr>
              <w:contextualSpacing/>
              <w:jc w:val="center"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Dom zdravlja Varaždinske županije</w:t>
            </w:r>
          </w:p>
          <w:p w14:paraId="71DCD497" w14:textId="4329D5A8" w:rsidR="00BD1477" w:rsidRPr="00B7472F" w:rsidRDefault="00910E85" w:rsidP="00C9589F">
            <w:pPr>
              <w:contextualSpacing/>
              <w:jc w:val="center"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Vatrogasna zajednica Grada Ivanca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2849358" w14:textId="77777777" w:rsidR="00B7472F" w:rsidRPr="00B7472F" w:rsidRDefault="00B7472F" w:rsidP="00B7472F">
            <w:pPr>
              <w:tabs>
                <w:tab w:val="left" w:pos="1617"/>
              </w:tabs>
              <w:contextualSpacing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- DVD-i Vatrogasne zajednice Grada Ivanca</w:t>
            </w:r>
          </w:p>
          <w:p w14:paraId="26F89C4E" w14:textId="77777777" w:rsidR="00B7472F" w:rsidRDefault="00B7472F" w:rsidP="00177358">
            <w:pPr>
              <w:tabs>
                <w:tab w:val="left" w:pos="1617"/>
              </w:tabs>
              <w:contextualSpacing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- Gradsko društvo Crvenog križa Ivanec</w:t>
            </w:r>
          </w:p>
          <w:p w14:paraId="592F4067" w14:textId="1D671559" w:rsidR="00177358" w:rsidRPr="00B7472F" w:rsidRDefault="00177358" w:rsidP="00177358">
            <w:pPr>
              <w:tabs>
                <w:tab w:val="left" w:pos="1617"/>
              </w:tabs>
              <w:contextualSpacing/>
              <w:rPr>
                <w:sz w:val="22"/>
                <w:szCs w:val="22"/>
              </w:rPr>
            </w:pPr>
            <w:r w:rsidRPr="00177358">
              <w:rPr>
                <w:sz w:val="22"/>
                <w:szCs w:val="22"/>
              </w:rPr>
              <w:t>- IVKOM d.d. Ivanec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D1477" w:rsidRPr="00B7472F" w14:paraId="6396E091" w14:textId="77777777" w:rsidTr="00995CF7">
        <w:trPr>
          <w:trHeight w:val="921"/>
          <w:jc w:val="center"/>
        </w:trPr>
        <w:tc>
          <w:tcPr>
            <w:tcW w:w="754" w:type="dxa"/>
            <w:vAlign w:val="center"/>
          </w:tcPr>
          <w:p w14:paraId="3C744534" w14:textId="100F2624" w:rsidR="00BD1477" w:rsidRPr="00B7472F" w:rsidRDefault="00995CF7" w:rsidP="00995CF7">
            <w:pPr>
              <w:tabs>
                <w:tab w:val="left" w:pos="1617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B7472F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38FAA91" w14:textId="66871A73" w:rsidR="00BD1477" w:rsidRPr="00B7472F" w:rsidRDefault="00BD1477" w:rsidP="00C9589F">
            <w:pPr>
              <w:tabs>
                <w:tab w:val="left" w:pos="161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7472F">
              <w:rPr>
                <w:b/>
                <w:sz w:val="22"/>
                <w:szCs w:val="22"/>
              </w:rPr>
              <w:t>Klizišta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FAC320A" w14:textId="6DBB4C84" w:rsidR="00BD1477" w:rsidRPr="00B7472F" w:rsidRDefault="00BD1477" w:rsidP="00C9589F">
            <w:pPr>
              <w:tabs>
                <w:tab w:val="left" w:pos="1617"/>
              </w:tabs>
              <w:contextualSpacing/>
              <w:jc w:val="center"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Načelnik Stožera civilne zaštite Grada Ivanca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F1AE3" w14:textId="77777777" w:rsidR="00910E85" w:rsidRPr="00B7472F" w:rsidRDefault="00910E85" w:rsidP="00910E85">
            <w:pPr>
              <w:contextualSpacing/>
              <w:jc w:val="center"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Vatrogasna zajednica Grada Ivanca</w:t>
            </w:r>
          </w:p>
          <w:p w14:paraId="6C088F62" w14:textId="0A47333C" w:rsidR="00BD1477" w:rsidRPr="00B7472F" w:rsidRDefault="00910E85" w:rsidP="00910E85">
            <w:pPr>
              <w:contextualSpacing/>
              <w:jc w:val="center"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 xml:space="preserve">IVKOM </w:t>
            </w:r>
            <w:proofErr w:type="spellStart"/>
            <w:r w:rsidRPr="00B7472F">
              <w:rPr>
                <w:sz w:val="22"/>
                <w:szCs w:val="22"/>
              </w:rPr>
              <w:t>d.d</w:t>
            </w:r>
            <w:proofErr w:type="spellEnd"/>
            <w:r w:rsidRPr="00B7472F">
              <w:rPr>
                <w:sz w:val="22"/>
                <w:szCs w:val="22"/>
              </w:rPr>
              <w:t xml:space="preserve"> Ivanec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0CDA595" w14:textId="249385E9" w:rsidR="00B7472F" w:rsidRPr="00B7472F" w:rsidRDefault="00B7472F" w:rsidP="00B7472F">
            <w:pPr>
              <w:tabs>
                <w:tab w:val="left" w:pos="1617"/>
              </w:tabs>
              <w:contextualSpacing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- IVKOM d.d. Ivanec</w:t>
            </w:r>
          </w:p>
          <w:p w14:paraId="1EF8378B" w14:textId="6587AB90" w:rsidR="00B7472F" w:rsidRPr="00B7472F" w:rsidRDefault="00B7472F" w:rsidP="00B7472F">
            <w:pPr>
              <w:tabs>
                <w:tab w:val="left" w:pos="1617"/>
              </w:tabs>
              <w:contextualSpacing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- DVD-i Vatrogasne zajednice Grada Ivanca</w:t>
            </w:r>
          </w:p>
          <w:p w14:paraId="1F719612" w14:textId="25152569" w:rsidR="00BD1477" w:rsidRPr="00B7472F" w:rsidRDefault="00B7472F" w:rsidP="00B7472F">
            <w:pPr>
              <w:contextualSpacing/>
              <w:rPr>
                <w:sz w:val="22"/>
                <w:szCs w:val="22"/>
              </w:rPr>
            </w:pPr>
            <w:r w:rsidRPr="00B7472F">
              <w:rPr>
                <w:sz w:val="22"/>
                <w:szCs w:val="22"/>
              </w:rPr>
              <w:t>- Upravn</w:t>
            </w:r>
            <w:r w:rsidR="00464DAE">
              <w:rPr>
                <w:sz w:val="22"/>
                <w:szCs w:val="22"/>
              </w:rPr>
              <w:t>i</w:t>
            </w:r>
            <w:r w:rsidRPr="00B7472F">
              <w:rPr>
                <w:sz w:val="22"/>
                <w:szCs w:val="22"/>
              </w:rPr>
              <w:t xml:space="preserve"> odjel za urbanizam, komunalne poslove i zaštitu okoliša Grada Ivanca</w:t>
            </w:r>
          </w:p>
        </w:tc>
      </w:tr>
      <w:tr w:rsidR="00BD1477" w:rsidRPr="00B7472F" w14:paraId="55DB5EFD" w14:textId="77777777" w:rsidTr="00995CF7">
        <w:trPr>
          <w:trHeight w:val="921"/>
          <w:jc w:val="center"/>
        </w:trPr>
        <w:tc>
          <w:tcPr>
            <w:tcW w:w="9219" w:type="dxa"/>
            <w:gridSpan w:val="5"/>
            <w:vAlign w:val="center"/>
          </w:tcPr>
          <w:p w14:paraId="2E320513" w14:textId="77777777" w:rsidR="00BD1477" w:rsidRPr="00B7472F" w:rsidRDefault="00BD1477" w:rsidP="00C9589F">
            <w:pPr>
              <w:tabs>
                <w:tab w:val="left" w:pos="1617"/>
              </w:tabs>
              <w:contextualSpacing/>
              <w:rPr>
                <w:b/>
                <w:sz w:val="22"/>
                <w:szCs w:val="22"/>
              </w:rPr>
            </w:pPr>
          </w:p>
          <w:p w14:paraId="4FF9810B" w14:textId="77777777" w:rsidR="00BD1477" w:rsidRPr="00B7472F" w:rsidRDefault="00BD1477" w:rsidP="00C9589F">
            <w:pPr>
              <w:pStyle w:val="Sadraj1"/>
              <w:spacing w:line="240" w:lineRule="auto"/>
              <w:contextualSpacing/>
              <w:rPr>
                <w:rStyle w:val="Hiperveza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00B7472F">
              <w:rPr>
                <w:rFonts w:ascii="Times New Roman" w:hAnsi="Times New Roman"/>
                <w:b/>
                <w:sz w:val="22"/>
                <w:szCs w:val="22"/>
              </w:rPr>
              <w:t>Konzultant:</w:t>
            </w:r>
            <w:r w:rsidRPr="00B747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472F">
              <w:rPr>
                <w:rStyle w:val="Hiperveza"/>
                <w:rFonts w:ascii="Times New Roman" w:hAnsi="Times New Roman"/>
                <w:color w:val="auto"/>
                <w:sz w:val="22"/>
                <w:szCs w:val="22"/>
                <w:u w:val="none"/>
              </w:rPr>
              <w:t>Ustanova za obrazovanje odraslih Defensor, Zagrebačka 71, 42 000 Varaždin.</w:t>
            </w:r>
          </w:p>
          <w:p w14:paraId="31D8665A" w14:textId="77777777" w:rsidR="00BD1477" w:rsidRPr="00B7472F" w:rsidRDefault="00BD1477" w:rsidP="00C9589F">
            <w:pPr>
              <w:tabs>
                <w:tab w:val="left" w:pos="1617"/>
              </w:tabs>
              <w:contextualSpacing/>
              <w:rPr>
                <w:sz w:val="22"/>
                <w:szCs w:val="22"/>
              </w:rPr>
            </w:pPr>
          </w:p>
        </w:tc>
      </w:tr>
      <w:bookmarkEnd w:id="0"/>
    </w:tbl>
    <w:p w14:paraId="5BD7F703" w14:textId="77777777" w:rsidR="0035176D" w:rsidRPr="0001799F" w:rsidRDefault="0035176D" w:rsidP="00C9589F">
      <w:pPr>
        <w:tabs>
          <w:tab w:val="left" w:pos="1617"/>
        </w:tabs>
        <w:contextualSpacing/>
      </w:pPr>
    </w:p>
    <w:sectPr w:rsidR="0035176D" w:rsidRPr="0001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CFBC7" w14:textId="77777777" w:rsidR="00352DD3" w:rsidRDefault="00352DD3" w:rsidP="00F042EF">
      <w:r>
        <w:separator/>
      </w:r>
    </w:p>
  </w:endnote>
  <w:endnote w:type="continuationSeparator" w:id="0">
    <w:p w14:paraId="51CAA2B5" w14:textId="77777777" w:rsidR="00352DD3" w:rsidRDefault="00352DD3" w:rsidP="00F0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87B98" w14:textId="77777777" w:rsidR="00352DD3" w:rsidRDefault="00352DD3" w:rsidP="00F042EF">
      <w:r>
        <w:separator/>
      </w:r>
    </w:p>
  </w:footnote>
  <w:footnote w:type="continuationSeparator" w:id="0">
    <w:p w14:paraId="3F1B264B" w14:textId="77777777" w:rsidR="00352DD3" w:rsidRDefault="00352DD3" w:rsidP="00F0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7E0B"/>
    <w:multiLevelType w:val="hybridMultilevel"/>
    <w:tmpl w:val="A976BB66"/>
    <w:lvl w:ilvl="0" w:tplc="0268B4B2">
      <w:start w:val="2"/>
      <w:numFmt w:val="decimal"/>
      <w:lvlText w:val="%1."/>
      <w:lvlJc w:val="left"/>
      <w:pPr>
        <w:tabs>
          <w:tab w:val="num" w:pos="6630"/>
        </w:tabs>
        <w:ind w:left="6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350"/>
        </w:tabs>
        <w:ind w:left="73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8070"/>
        </w:tabs>
        <w:ind w:left="80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790"/>
        </w:tabs>
        <w:ind w:left="87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9510"/>
        </w:tabs>
        <w:ind w:left="95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0230"/>
        </w:tabs>
        <w:ind w:left="102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950"/>
        </w:tabs>
        <w:ind w:left="109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670"/>
        </w:tabs>
        <w:ind w:left="116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2390"/>
        </w:tabs>
        <w:ind w:left="12390" w:hanging="180"/>
      </w:pPr>
    </w:lvl>
  </w:abstractNum>
  <w:abstractNum w:abstractNumId="1" w15:restartNumberingAfterBreak="0">
    <w:nsid w:val="086E2131"/>
    <w:multiLevelType w:val="hybridMultilevel"/>
    <w:tmpl w:val="9A286F94"/>
    <w:lvl w:ilvl="0" w:tplc="8EC007B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D3A67E7"/>
    <w:multiLevelType w:val="hybridMultilevel"/>
    <w:tmpl w:val="884C415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2719"/>
    <w:multiLevelType w:val="hybridMultilevel"/>
    <w:tmpl w:val="A262F2EC"/>
    <w:lvl w:ilvl="0" w:tplc="C39A610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65960BE"/>
    <w:multiLevelType w:val="hybridMultilevel"/>
    <w:tmpl w:val="2C448D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F59A1"/>
    <w:multiLevelType w:val="hybridMultilevel"/>
    <w:tmpl w:val="A0AEA3DC"/>
    <w:lvl w:ilvl="0" w:tplc="EF2E79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CC1608"/>
    <w:multiLevelType w:val="hybridMultilevel"/>
    <w:tmpl w:val="C220E4F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A4DE0"/>
    <w:multiLevelType w:val="hybridMultilevel"/>
    <w:tmpl w:val="E12610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8746F0"/>
    <w:multiLevelType w:val="hybridMultilevel"/>
    <w:tmpl w:val="88A6B89C"/>
    <w:lvl w:ilvl="0" w:tplc="2B2EEB0A">
      <w:start w:val="1"/>
      <w:numFmt w:val="bullet"/>
      <w:lvlText w:val=""/>
      <w:lvlJc w:val="left"/>
      <w:pPr>
        <w:ind w:left="454" w:hanging="9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31B30"/>
    <w:multiLevelType w:val="hybridMultilevel"/>
    <w:tmpl w:val="0C80D5C6"/>
    <w:lvl w:ilvl="0" w:tplc="34389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45293"/>
    <w:multiLevelType w:val="hybridMultilevel"/>
    <w:tmpl w:val="4168C71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28"/>
    <w:rsid w:val="0001799F"/>
    <w:rsid w:val="00053EDE"/>
    <w:rsid w:val="0008075B"/>
    <w:rsid w:val="00096FC5"/>
    <w:rsid w:val="000C2F71"/>
    <w:rsid w:val="000D282A"/>
    <w:rsid w:val="000D2F29"/>
    <w:rsid w:val="000F72DB"/>
    <w:rsid w:val="00101631"/>
    <w:rsid w:val="001138A9"/>
    <w:rsid w:val="00116FC4"/>
    <w:rsid w:val="00142701"/>
    <w:rsid w:val="00146524"/>
    <w:rsid w:val="00172114"/>
    <w:rsid w:val="00173E26"/>
    <w:rsid w:val="00177358"/>
    <w:rsid w:val="00184E57"/>
    <w:rsid w:val="001A61A1"/>
    <w:rsid w:val="001B616F"/>
    <w:rsid w:val="001C3F5A"/>
    <w:rsid w:val="001D10F0"/>
    <w:rsid w:val="001E508A"/>
    <w:rsid w:val="0020166C"/>
    <w:rsid w:val="0020330D"/>
    <w:rsid w:val="0021267E"/>
    <w:rsid w:val="00236DA1"/>
    <w:rsid w:val="00262FE0"/>
    <w:rsid w:val="00273740"/>
    <w:rsid w:val="00273EE3"/>
    <w:rsid w:val="002744A2"/>
    <w:rsid w:val="00280C59"/>
    <w:rsid w:val="00281EFF"/>
    <w:rsid w:val="002F2761"/>
    <w:rsid w:val="00301581"/>
    <w:rsid w:val="00315CE5"/>
    <w:rsid w:val="00322F65"/>
    <w:rsid w:val="00324BEC"/>
    <w:rsid w:val="00335CD2"/>
    <w:rsid w:val="003377C6"/>
    <w:rsid w:val="0035176D"/>
    <w:rsid w:val="00352DD3"/>
    <w:rsid w:val="00362336"/>
    <w:rsid w:val="00363A37"/>
    <w:rsid w:val="00365968"/>
    <w:rsid w:val="00391428"/>
    <w:rsid w:val="0039758D"/>
    <w:rsid w:val="003C5212"/>
    <w:rsid w:val="003C5A91"/>
    <w:rsid w:val="003C7CDF"/>
    <w:rsid w:val="003D4455"/>
    <w:rsid w:val="00415746"/>
    <w:rsid w:val="0044303E"/>
    <w:rsid w:val="00461235"/>
    <w:rsid w:val="00464DAE"/>
    <w:rsid w:val="00497B8E"/>
    <w:rsid w:val="004F0B28"/>
    <w:rsid w:val="0050303A"/>
    <w:rsid w:val="00507D6A"/>
    <w:rsid w:val="00512EE8"/>
    <w:rsid w:val="00523855"/>
    <w:rsid w:val="0057223B"/>
    <w:rsid w:val="00586137"/>
    <w:rsid w:val="005A57E5"/>
    <w:rsid w:val="005B074D"/>
    <w:rsid w:val="005D57B5"/>
    <w:rsid w:val="005E5684"/>
    <w:rsid w:val="005F35CA"/>
    <w:rsid w:val="006005A8"/>
    <w:rsid w:val="006230C2"/>
    <w:rsid w:val="0062724F"/>
    <w:rsid w:val="00646C26"/>
    <w:rsid w:val="00654C28"/>
    <w:rsid w:val="006837B0"/>
    <w:rsid w:val="00696F32"/>
    <w:rsid w:val="006A10B5"/>
    <w:rsid w:val="006A17D6"/>
    <w:rsid w:val="006A6176"/>
    <w:rsid w:val="006B79C6"/>
    <w:rsid w:val="006E153F"/>
    <w:rsid w:val="007022E7"/>
    <w:rsid w:val="00704DFA"/>
    <w:rsid w:val="00705E8A"/>
    <w:rsid w:val="00707691"/>
    <w:rsid w:val="007455F8"/>
    <w:rsid w:val="00777B95"/>
    <w:rsid w:val="007A4400"/>
    <w:rsid w:val="007B4B9A"/>
    <w:rsid w:val="007D17C9"/>
    <w:rsid w:val="007E16CF"/>
    <w:rsid w:val="007E7291"/>
    <w:rsid w:val="007F312E"/>
    <w:rsid w:val="0082105D"/>
    <w:rsid w:val="00833D6E"/>
    <w:rsid w:val="008449E7"/>
    <w:rsid w:val="00851F09"/>
    <w:rsid w:val="008722BD"/>
    <w:rsid w:val="008B4EAE"/>
    <w:rsid w:val="008E321A"/>
    <w:rsid w:val="009011CB"/>
    <w:rsid w:val="00910A42"/>
    <w:rsid w:val="00910E85"/>
    <w:rsid w:val="00913FCC"/>
    <w:rsid w:val="00942207"/>
    <w:rsid w:val="00964A85"/>
    <w:rsid w:val="00986871"/>
    <w:rsid w:val="00995CF7"/>
    <w:rsid w:val="009A78F4"/>
    <w:rsid w:val="009B318E"/>
    <w:rsid w:val="009B5946"/>
    <w:rsid w:val="009C7B89"/>
    <w:rsid w:val="009E5C3B"/>
    <w:rsid w:val="009E7E92"/>
    <w:rsid w:val="00A02B79"/>
    <w:rsid w:val="00A170F1"/>
    <w:rsid w:val="00A22DF9"/>
    <w:rsid w:val="00A32C45"/>
    <w:rsid w:val="00A34EB0"/>
    <w:rsid w:val="00A350A8"/>
    <w:rsid w:val="00A44330"/>
    <w:rsid w:val="00A46EA9"/>
    <w:rsid w:val="00A673E1"/>
    <w:rsid w:val="00A92C26"/>
    <w:rsid w:val="00AA6BA6"/>
    <w:rsid w:val="00AB01E4"/>
    <w:rsid w:val="00AB5B04"/>
    <w:rsid w:val="00AC064E"/>
    <w:rsid w:val="00AC0ABC"/>
    <w:rsid w:val="00AC511E"/>
    <w:rsid w:val="00AD42CA"/>
    <w:rsid w:val="00AE31E7"/>
    <w:rsid w:val="00B0653F"/>
    <w:rsid w:val="00B60201"/>
    <w:rsid w:val="00B7472F"/>
    <w:rsid w:val="00B7500D"/>
    <w:rsid w:val="00B94E08"/>
    <w:rsid w:val="00BD1477"/>
    <w:rsid w:val="00BE30B3"/>
    <w:rsid w:val="00BE6D2C"/>
    <w:rsid w:val="00C00456"/>
    <w:rsid w:val="00C16B4F"/>
    <w:rsid w:val="00C209AE"/>
    <w:rsid w:val="00C336E8"/>
    <w:rsid w:val="00C906D9"/>
    <w:rsid w:val="00C9589F"/>
    <w:rsid w:val="00CA770A"/>
    <w:rsid w:val="00CB0558"/>
    <w:rsid w:val="00CB2AEA"/>
    <w:rsid w:val="00CD49B2"/>
    <w:rsid w:val="00D016CF"/>
    <w:rsid w:val="00D0620E"/>
    <w:rsid w:val="00D26F3C"/>
    <w:rsid w:val="00D30D02"/>
    <w:rsid w:val="00D5545E"/>
    <w:rsid w:val="00D65B6D"/>
    <w:rsid w:val="00D7362E"/>
    <w:rsid w:val="00D75839"/>
    <w:rsid w:val="00D75CB9"/>
    <w:rsid w:val="00D83F01"/>
    <w:rsid w:val="00D90F77"/>
    <w:rsid w:val="00DA161B"/>
    <w:rsid w:val="00DA5D10"/>
    <w:rsid w:val="00DA5D41"/>
    <w:rsid w:val="00DD1A0D"/>
    <w:rsid w:val="00DE27D1"/>
    <w:rsid w:val="00DF02DA"/>
    <w:rsid w:val="00DF759E"/>
    <w:rsid w:val="00E041CC"/>
    <w:rsid w:val="00E059E8"/>
    <w:rsid w:val="00E32B2A"/>
    <w:rsid w:val="00E5773B"/>
    <w:rsid w:val="00E70A0F"/>
    <w:rsid w:val="00EA5CCA"/>
    <w:rsid w:val="00EB584A"/>
    <w:rsid w:val="00EC78D2"/>
    <w:rsid w:val="00EE7614"/>
    <w:rsid w:val="00EF4B57"/>
    <w:rsid w:val="00F042EF"/>
    <w:rsid w:val="00F109E0"/>
    <w:rsid w:val="00F26A29"/>
    <w:rsid w:val="00F31AD6"/>
    <w:rsid w:val="00F368C6"/>
    <w:rsid w:val="00F41472"/>
    <w:rsid w:val="00F474EC"/>
    <w:rsid w:val="00F547C6"/>
    <w:rsid w:val="00F57098"/>
    <w:rsid w:val="00F97CBB"/>
    <w:rsid w:val="00FB7023"/>
    <w:rsid w:val="00FD3696"/>
    <w:rsid w:val="00FE7F34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27CA5"/>
  <w15:chartTrackingRefBased/>
  <w15:docId w15:val="{09B1C74A-B6DF-4FFA-B609-B66CEC2B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72F"/>
    <w:rPr>
      <w:sz w:val="24"/>
      <w:szCs w:val="24"/>
    </w:rPr>
  </w:style>
  <w:style w:type="paragraph" w:styleId="Naslov1">
    <w:name w:val="heading 1"/>
    <w:basedOn w:val="Normal"/>
    <w:next w:val="Normal"/>
    <w:qFormat/>
    <w:rsid w:val="00DE27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1B616F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B0558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9E7E92"/>
    <w:pPr>
      <w:jc w:val="both"/>
    </w:pPr>
  </w:style>
  <w:style w:type="character" w:customStyle="1" w:styleId="TijelotekstaChar">
    <w:name w:val="Tijelo teksta Char"/>
    <w:link w:val="Tijeloteksta"/>
    <w:rsid w:val="009E7E92"/>
    <w:rPr>
      <w:sz w:val="24"/>
      <w:szCs w:val="24"/>
      <w:lang w:val="hr-HR" w:eastAsia="hr-HR" w:bidi="ar-SA"/>
    </w:rPr>
  </w:style>
  <w:style w:type="paragraph" w:styleId="StandardWeb">
    <w:name w:val="Normal (Web)"/>
    <w:basedOn w:val="Normal"/>
    <w:rsid w:val="00696F32"/>
    <w:pPr>
      <w:spacing w:before="100" w:beforeAutospacing="1" w:after="100" w:afterAutospacing="1"/>
    </w:pPr>
  </w:style>
  <w:style w:type="character" w:styleId="Naglaeno">
    <w:name w:val="Strong"/>
    <w:qFormat/>
    <w:rsid w:val="00696F32"/>
    <w:rPr>
      <w:b/>
      <w:bCs/>
    </w:rPr>
  </w:style>
  <w:style w:type="character" w:styleId="Referencakomentara">
    <w:name w:val="annotation reference"/>
    <w:rsid w:val="00DA5D4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DA5D41"/>
    <w:rPr>
      <w:sz w:val="20"/>
      <w:szCs w:val="20"/>
    </w:rPr>
  </w:style>
  <w:style w:type="character" w:customStyle="1" w:styleId="TekstkomentaraChar">
    <w:name w:val="Tekst komentara Char"/>
    <w:link w:val="Tekstkomentara"/>
    <w:rsid w:val="00DA5D41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DA5D41"/>
    <w:rPr>
      <w:b/>
      <w:bCs/>
    </w:rPr>
  </w:style>
  <w:style w:type="character" w:customStyle="1" w:styleId="PredmetkomentaraChar">
    <w:name w:val="Predmet komentara Char"/>
    <w:link w:val="Predmetkomentara"/>
    <w:rsid w:val="00DA5D41"/>
    <w:rPr>
      <w:b/>
      <w:bCs/>
      <w:lang w:eastAsia="hr-HR"/>
    </w:rPr>
  </w:style>
  <w:style w:type="paragraph" w:styleId="Zaglavlje">
    <w:name w:val="header"/>
    <w:basedOn w:val="Normal"/>
    <w:link w:val="ZaglavljeChar"/>
    <w:rsid w:val="00F042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042EF"/>
    <w:rPr>
      <w:sz w:val="24"/>
      <w:szCs w:val="24"/>
    </w:rPr>
  </w:style>
  <w:style w:type="paragraph" w:styleId="Podnoje">
    <w:name w:val="footer"/>
    <w:basedOn w:val="Normal"/>
    <w:link w:val="PodnojeChar"/>
    <w:rsid w:val="00F042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F042EF"/>
    <w:rPr>
      <w:sz w:val="24"/>
      <w:szCs w:val="24"/>
    </w:rPr>
  </w:style>
  <w:style w:type="table" w:styleId="Reetkatablice">
    <w:name w:val="Table Grid"/>
    <w:basedOn w:val="Obinatablica"/>
    <w:rsid w:val="0035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link w:val="Sadraj1Char"/>
    <w:autoRedefine/>
    <w:uiPriority w:val="39"/>
    <w:unhideWhenUsed/>
    <w:rsid w:val="00F97CBB"/>
    <w:pPr>
      <w:tabs>
        <w:tab w:val="right" w:leader="dot" w:pos="9062"/>
      </w:tabs>
      <w:spacing w:line="276" w:lineRule="auto"/>
      <w:jc w:val="both"/>
    </w:pPr>
    <w:rPr>
      <w:rFonts w:ascii="Calibri" w:eastAsia="Calibri" w:hAnsi="Calibri"/>
      <w:noProof/>
      <w:szCs w:val="52"/>
      <w:lang w:eastAsia="en-US"/>
    </w:rPr>
  </w:style>
  <w:style w:type="character" w:styleId="Hiperveza">
    <w:name w:val="Hyperlink"/>
    <w:uiPriority w:val="99"/>
    <w:unhideWhenUsed/>
    <w:rsid w:val="00F97CBB"/>
    <w:rPr>
      <w:color w:val="0000FF"/>
      <w:u w:val="single"/>
    </w:rPr>
  </w:style>
  <w:style w:type="character" w:customStyle="1" w:styleId="Sadraj1Char">
    <w:name w:val="Sadržaj 1 Char"/>
    <w:link w:val="Sadraj1"/>
    <w:uiPriority w:val="39"/>
    <w:rsid w:val="00F97CBB"/>
    <w:rPr>
      <w:rFonts w:ascii="Calibri" w:eastAsia="Calibri" w:hAnsi="Calibri"/>
      <w:noProof/>
      <w:sz w:val="24"/>
      <w:szCs w:val="52"/>
      <w:lang w:eastAsia="en-US"/>
    </w:rPr>
  </w:style>
  <w:style w:type="paragraph" w:styleId="Odlomakpopisa">
    <w:name w:val="List Paragraph"/>
    <w:basedOn w:val="Normal"/>
    <w:uiPriority w:val="34"/>
    <w:qFormat/>
    <w:rsid w:val="00A3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7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9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3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53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0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7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7A40-B14C-4DE6-B005-D938AFCF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Hewlett-Packard Company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Opcina Cestica</dc:creator>
  <cp:keywords/>
  <cp:lastModifiedBy>Petra Videc</cp:lastModifiedBy>
  <cp:revision>9</cp:revision>
  <cp:lastPrinted>2021-02-22T11:51:00Z</cp:lastPrinted>
  <dcterms:created xsi:type="dcterms:W3CDTF">2021-02-19T11:19:00Z</dcterms:created>
  <dcterms:modified xsi:type="dcterms:W3CDTF">2021-02-22T11:53:00Z</dcterms:modified>
</cp:coreProperties>
</file>