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B77C" w14:textId="77777777" w:rsidR="00775691" w:rsidRDefault="00DE2DFB" w:rsidP="00DE2DFB">
      <w:pPr>
        <w:jc w:val="center"/>
        <w:rPr>
          <w:b/>
        </w:rPr>
      </w:pPr>
      <w:r w:rsidRPr="00F243E3">
        <w:rPr>
          <w:b/>
        </w:rPr>
        <w:t xml:space="preserve">Obrazloženje </w:t>
      </w:r>
      <w:r w:rsidR="00B97612">
        <w:rPr>
          <w:b/>
        </w:rPr>
        <w:t>prijedloga</w:t>
      </w:r>
      <w:r w:rsidR="00F7555D">
        <w:rPr>
          <w:b/>
        </w:rPr>
        <w:t xml:space="preserve"> </w:t>
      </w:r>
      <w:r w:rsidRPr="00F243E3">
        <w:rPr>
          <w:b/>
        </w:rPr>
        <w:t>Programa gra</w:t>
      </w:r>
      <w:r w:rsidR="00025B17">
        <w:rPr>
          <w:b/>
        </w:rPr>
        <w:t>đenja</w:t>
      </w:r>
      <w:r w:rsidRPr="00F243E3">
        <w:rPr>
          <w:b/>
        </w:rPr>
        <w:t xml:space="preserve"> objekata i uređaja</w:t>
      </w:r>
    </w:p>
    <w:p w14:paraId="69DA08FB" w14:textId="4E7FBAFC" w:rsidR="00DE2DFB" w:rsidRPr="00F243E3" w:rsidRDefault="00DE2DFB" w:rsidP="00DE2DFB">
      <w:pPr>
        <w:jc w:val="center"/>
        <w:rPr>
          <w:b/>
        </w:rPr>
      </w:pPr>
      <w:r w:rsidRPr="00F243E3">
        <w:rPr>
          <w:b/>
        </w:rPr>
        <w:t xml:space="preserve">komunalne infrastrukture na području Grada Ivanca za </w:t>
      </w:r>
      <w:r w:rsidR="00FC7D18">
        <w:rPr>
          <w:b/>
        </w:rPr>
        <w:t>202</w:t>
      </w:r>
      <w:r w:rsidR="00DE6C16">
        <w:rPr>
          <w:b/>
        </w:rPr>
        <w:t>1</w:t>
      </w:r>
      <w:r w:rsidRPr="00F243E3">
        <w:rPr>
          <w:b/>
        </w:rPr>
        <w:t xml:space="preserve">. </w:t>
      </w:r>
      <w:r w:rsidR="00E973C3">
        <w:rPr>
          <w:b/>
        </w:rPr>
        <w:t>g</w:t>
      </w:r>
      <w:r w:rsidRPr="00F243E3">
        <w:rPr>
          <w:b/>
        </w:rPr>
        <w:t>odinu</w:t>
      </w:r>
      <w:r w:rsidR="00A67FBA">
        <w:rPr>
          <w:b/>
        </w:rPr>
        <w:t xml:space="preserve"> – uz Proračun</w:t>
      </w:r>
    </w:p>
    <w:p w14:paraId="6C97659D" w14:textId="77777777" w:rsidR="00DE2DFB" w:rsidRDefault="00DE2DFB" w:rsidP="00EB2E2D">
      <w:pPr>
        <w:rPr>
          <w:sz w:val="22"/>
          <w:szCs w:val="22"/>
        </w:rPr>
      </w:pPr>
    </w:p>
    <w:p w14:paraId="07222F7A" w14:textId="77777777" w:rsidR="00B025C0" w:rsidRPr="00F243E3" w:rsidRDefault="00EF3220" w:rsidP="00EF3220">
      <w:pPr>
        <w:autoSpaceDE w:val="0"/>
        <w:autoSpaceDN w:val="0"/>
        <w:adjustRightInd w:val="0"/>
        <w:ind w:firstLine="708"/>
        <w:jc w:val="both"/>
      </w:pPr>
      <w:r w:rsidRPr="00F243E3">
        <w:t>Program</w:t>
      </w:r>
      <w:r w:rsidR="00B025C0" w:rsidRPr="00F243E3">
        <w:t xml:space="preserve"> gra</w:t>
      </w:r>
      <w:r w:rsidR="004355FE">
        <w:t>đenja</w:t>
      </w:r>
      <w:r w:rsidR="00B025C0" w:rsidRPr="00F243E3">
        <w:t xml:space="preserve"> objekata i uređaja komunalne infrastrukture</w:t>
      </w:r>
      <w:r w:rsidRPr="00F243E3">
        <w:t xml:space="preserve"> provodi Upravni odjel za urbanizam, komunalne poslove i zaštitu okoliša</w:t>
      </w:r>
      <w:r w:rsidR="00B025C0" w:rsidRPr="00F243E3">
        <w:t>.</w:t>
      </w:r>
    </w:p>
    <w:p w14:paraId="4583FD1D" w14:textId="3395E414" w:rsidR="00084B0D" w:rsidRDefault="007231DA" w:rsidP="00F243E3">
      <w:pPr>
        <w:autoSpaceDE w:val="0"/>
        <w:autoSpaceDN w:val="0"/>
        <w:adjustRightInd w:val="0"/>
        <w:ind w:firstLine="708"/>
        <w:jc w:val="both"/>
      </w:pPr>
      <w:r w:rsidRPr="008330FF">
        <w:t>Program obuhva</w:t>
      </w:r>
      <w:r w:rsidR="00084B0D" w:rsidRPr="008330FF">
        <w:t>ć</w:t>
      </w:r>
      <w:r w:rsidRPr="008330FF">
        <w:t>a aktivnosti vezane uz zajedni</w:t>
      </w:r>
      <w:r w:rsidR="00084B0D" w:rsidRPr="008330FF">
        <w:t>č</w:t>
      </w:r>
      <w:r w:rsidRPr="008330FF">
        <w:t>ka ulaganja u projekte infrastrukture s</w:t>
      </w:r>
      <w:r w:rsidR="00F243E3" w:rsidRPr="008330FF">
        <w:t xml:space="preserve"> </w:t>
      </w:r>
      <w:r w:rsidRPr="008330FF">
        <w:t>komunalnim i trgova</w:t>
      </w:r>
      <w:r w:rsidR="00084B0D" w:rsidRPr="008330FF">
        <w:t>č</w:t>
      </w:r>
      <w:r w:rsidRPr="008330FF">
        <w:t>kim društvima</w:t>
      </w:r>
      <w:r w:rsidR="00084B0D" w:rsidRPr="008330FF">
        <w:t>, od kojih se posebno ističu javne površine, prometnice i prom</w:t>
      </w:r>
      <w:r w:rsidR="006A1083" w:rsidRPr="008330FF">
        <w:t>etne površine, javna rasvjeta</w:t>
      </w:r>
      <w:r w:rsidR="00987B3D">
        <w:t>,</w:t>
      </w:r>
      <w:r w:rsidR="00084B0D" w:rsidRPr="008330FF">
        <w:t xml:space="preserve"> </w:t>
      </w:r>
      <w:r w:rsidR="004F3EBE" w:rsidRPr="008330FF">
        <w:t>objekti za gospodarenje komunalnim otpadom</w:t>
      </w:r>
      <w:r w:rsidR="00084B0D" w:rsidRPr="00F243E3">
        <w:t>.</w:t>
      </w:r>
    </w:p>
    <w:p w14:paraId="7392184D" w14:textId="6351F3B0" w:rsidR="00084B0D" w:rsidRPr="00F243E3" w:rsidRDefault="006D0725" w:rsidP="00F243E3">
      <w:pPr>
        <w:autoSpaceDE w:val="0"/>
        <w:autoSpaceDN w:val="0"/>
        <w:adjustRightInd w:val="0"/>
        <w:ind w:firstLine="708"/>
        <w:jc w:val="both"/>
      </w:pPr>
      <w:r>
        <w:t>Ovim s</w:t>
      </w:r>
      <w:r w:rsidR="00551C94">
        <w:t>u</w:t>
      </w:r>
      <w:r>
        <w:t xml:space="preserve"> Program</w:t>
      </w:r>
      <w:r w:rsidR="00551C94">
        <w:t>om</w:t>
      </w:r>
      <w:r>
        <w:t xml:space="preserve"> gra</w:t>
      </w:r>
      <w:r w:rsidR="00134E1C">
        <w:t>đenja</w:t>
      </w:r>
      <w:r>
        <w:t xml:space="preserve"> objekata i uređaja komunalne infrastrukture za </w:t>
      </w:r>
      <w:r w:rsidR="00FC7D18">
        <w:t>202</w:t>
      </w:r>
      <w:r w:rsidR="00DE6C16">
        <w:t>1</w:t>
      </w:r>
      <w:r>
        <w:t>. godinu planira</w:t>
      </w:r>
      <w:r w:rsidR="00551C94">
        <w:t>ju</w:t>
      </w:r>
      <w:r>
        <w:t xml:space="preserve"> rashodi i izdaci za izvršenje Programa </w:t>
      </w:r>
      <w:r w:rsidR="00551C94">
        <w:t xml:space="preserve">u </w:t>
      </w:r>
      <w:r>
        <w:t>iznos</w:t>
      </w:r>
      <w:r w:rsidR="00551C94">
        <w:t>u</w:t>
      </w:r>
      <w:r>
        <w:t xml:space="preserve"> </w:t>
      </w:r>
      <w:r w:rsidR="0054470A">
        <w:rPr>
          <w:b/>
        </w:rPr>
        <w:t>6</w:t>
      </w:r>
      <w:r w:rsidRPr="00100D6C">
        <w:rPr>
          <w:b/>
        </w:rPr>
        <w:t>.</w:t>
      </w:r>
      <w:r w:rsidR="0054470A">
        <w:rPr>
          <w:b/>
        </w:rPr>
        <w:t>925</w:t>
      </w:r>
      <w:r w:rsidRPr="00100D6C">
        <w:rPr>
          <w:b/>
        </w:rPr>
        <w:t>.</w:t>
      </w:r>
      <w:r>
        <w:rPr>
          <w:b/>
        </w:rPr>
        <w:t>000</w:t>
      </w:r>
      <w:r w:rsidRPr="00100D6C">
        <w:rPr>
          <w:b/>
        </w:rPr>
        <w:t>,</w:t>
      </w:r>
      <w:r>
        <w:rPr>
          <w:b/>
        </w:rPr>
        <w:t>00</w:t>
      </w:r>
      <w:r>
        <w:t xml:space="preserve"> kuna, a u</w:t>
      </w:r>
      <w:r w:rsidR="00A31E8A" w:rsidRPr="00F243E3">
        <w:t xml:space="preserve"> nastavku se daje prikaz kapitalnih projekata sa aktivnostima za </w:t>
      </w:r>
      <w:r w:rsidR="00D21BE7">
        <w:t>ostvarenje projekata i Programa, te pripadajućim obrazloženjima.</w:t>
      </w:r>
    </w:p>
    <w:p w14:paraId="46BB28D9" w14:textId="77777777" w:rsidR="00E637F3" w:rsidRDefault="00E637F3" w:rsidP="007231DA">
      <w:pPr>
        <w:autoSpaceDE w:val="0"/>
        <w:autoSpaceDN w:val="0"/>
        <w:adjustRightInd w:val="0"/>
      </w:pPr>
    </w:p>
    <w:p w14:paraId="151AF5CF" w14:textId="77777777" w:rsidR="00084B0D" w:rsidRPr="00A31E8A" w:rsidRDefault="00084B0D" w:rsidP="00084B0D">
      <w:pPr>
        <w:rPr>
          <w:b/>
        </w:rPr>
      </w:pPr>
      <w:r w:rsidRPr="00A31E8A">
        <w:rPr>
          <w:b/>
        </w:rPr>
        <w:t xml:space="preserve">Kapitalni projekt: </w:t>
      </w:r>
      <w:r w:rsidR="00DF72BA">
        <w:rPr>
          <w:b/>
        </w:rPr>
        <w:t>Gradnja i u</w:t>
      </w:r>
      <w:r w:rsidRPr="00A31E8A">
        <w:rPr>
          <w:b/>
        </w:rPr>
        <w:t>ređenje dječjih igrališta</w:t>
      </w:r>
    </w:p>
    <w:p w14:paraId="4654CC08" w14:textId="77777777" w:rsidR="00A31E8A" w:rsidRDefault="00A31E8A" w:rsidP="00084B0D"/>
    <w:p w14:paraId="3E2433D6" w14:textId="77777777" w:rsidR="00084B0D" w:rsidRPr="00B213C9" w:rsidRDefault="007231DA" w:rsidP="00EF3220">
      <w:pPr>
        <w:jc w:val="both"/>
      </w:pPr>
      <w:r w:rsidRPr="00B213C9">
        <w:t xml:space="preserve">Cilj </w:t>
      </w:r>
      <w:r w:rsidR="00084B0D" w:rsidRPr="00B213C9">
        <w:t>projekta je</w:t>
      </w:r>
      <w:r w:rsidR="00EF3220" w:rsidRPr="00B213C9">
        <w:t xml:space="preserve"> dugoročnim ulaganjem u gradnju i uređenje dječjih igrališta na čitavom području Grada Ivanca omogućiti jednake uvjete za bavljenje sportom, okupljanje i održavanje lokalnih manifestacija i slično.</w:t>
      </w:r>
    </w:p>
    <w:p w14:paraId="0DE565EC" w14:textId="77777777" w:rsidR="00084B0D" w:rsidRPr="00B213C9" w:rsidRDefault="00084B0D" w:rsidP="007231DA">
      <w:r w:rsidRPr="00B213C9">
        <w:t>Z</w:t>
      </w:r>
      <w:r w:rsidR="000669C1" w:rsidRPr="00B213C9">
        <w:t>akonska</w:t>
      </w:r>
      <w:r w:rsidRPr="00B213C9">
        <w:t xml:space="preserve"> osnova</w:t>
      </w:r>
    </w:p>
    <w:p w14:paraId="3483C5A8" w14:textId="77777777" w:rsidR="00A31E8A" w:rsidRDefault="00A31E8A" w:rsidP="00A31E8A">
      <w:pPr>
        <w:autoSpaceDE w:val="0"/>
        <w:autoSpaceDN w:val="0"/>
        <w:adjustRightInd w:val="0"/>
      </w:pPr>
      <w:r w:rsidRPr="00B025C0">
        <w:t>- Zakon o prostornom ure</w:t>
      </w:r>
      <w:r>
        <w:t>đ</w:t>
      </w:r>
      <w:r w:rsidRPr="00B025C0">
        <w:t xml:space="preserve">enju </w:t>
      </w:r>
      <w:r w:rsidR="00C41276">
        <w:t>(NN 153/13</w:t>
      </w:r>
      <w:r>
        <w:t>),</w:t>
      </w:r>
    </w:p>
    <w:p w14:paraId="3E429D57" w14:textId="77777777" w:rsidR="00C41276" w:rsidRDefault="00C41276" w:rsidP="00A31E8A">
      <w:pPr>
        <w:autoSpaceDE w:val="0"/>
        <w:autoSpaceDN w:val="0"/>
        <w:adjustRightInd w:val="0"/>
      </w:pPr>
      <w:r w:rsidRPr="00B025C0">
        <w:t xml:space="preserve">- Zakon o </w:t>
      </w:r>
      <w:r>
        <w:t>gradnji</w:t>
      </w:r>
      <w:r w:rsidRPr="00B025C0">
        <w:t xml:space="preserve"> </w:t>
      </w:r>
      <w:r>
        <w:t>(NN 153/13</w:t>
      </w:r>
      <w:r w:rsidR="00C94051">
        <w:t>, 20/17</w:t>
      </w:r>
      <w:r>
        <w:t>),</w:t>
      </w:r>
    </w:p>
    <w:p w14:paraId="1C9AEE3F" w14:textId="77777777" w:rsidR="00A31E8A" w:rsidRDefault="00A31E8A" w:rsidP="00A31E8A">
      <w:pPr>
        <w:autoSpaceDE w:val="0"/>
        <w:autoSpaceDN w:val="0"/>
        <w:adjustRightInd w:val="0"/>
      </w:pPr>
      <w:r>
        <w:t xml:space="preserve">- Zakon o komunalnom gospodarstvu (NN </w:t>
      </w:r>
      <w:r w:rsidR="00C075F9">
        <w:t>68/18</w:t>
      </w:r>
      <w:r>
        <w:t>),</w:t>
      </w:r>
    </w:p>
    <w:p w14:paraId="7EB29FFB" w14:textId="77777777" w:rsidR="00A31E8A" w:rsidRDefault="00A31E8A" w:rsidP="00A31E8A">
      <w:pPr>
        <w:autoSpaceDE w:val="0"/>
        <w:autoSpaceDN w:val="0"/>
        <w:adjustRightInd w:val="0"/>
      </w:pPr>
      <w:r w:rsidRPr="00B025C0">
        <w:t>- drugi zakoni, pravilnici, uredb</w:t>
      </w:r>
      <w:r w:rsidR="00D21BE7">
        <w:t>e</w:t>
      </w:r>
      <w:r w:rsidRPr="00B025C0">
        <w:t xml:space="preserve"> i drugi podzakonski akti,</w:t>
      </w:r>
      <w:r>
        <w:t xml:space="preserve"> te gradsk</w:t>
      </w:r>
      <w:r w:rsidR="00D21BE7">
        <w:t>e</w:t>
      </w:r>
      <w:r>
        <w:t xml:space="preserve"> odluk</w:t>
      </w:r>
      <w:r w:rsidR="00D21BE7">
        <w:t>e</w:t>
      </w:r>
      <w:r>
        <w:t>.</w:t>
      </w:r>
    </w:p>
    <w:p w14:paraId="25B049C2" w14:textId="77777777" w:rsidR="00084B0D" w:rsidRDefault="00084B0D" w:rsidP="007231DA">
      <w:r w:rsidRPr="00B213C9">
        <w:t>Aktivnosti</w:t>
      </w:r>
      <w:r w:rsidR="000669C1" w:rsidRPr="00B213C9">
        <w:t>: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3"/>
        <w:gridCol w:w="1276"/>
        <w:gridCol w:w="1276"/>
        <w:gridCol w:w="1276"/>
      </w:tblGrid>
      <w:tr w:rsidR="00CF2C81" w:rsidRPr="009143F9" w14:paraId="0CB5CE6F" w14:textId="77777777" w:rsidTr="00CF2C81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6EC4" w14:textId="77777777" w:rsidR="00CF2C81" w:rsidRPr="00CF2C81" w:rsidRDefault="00CF2C81" w:rsidP="00ED725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CF2C81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67E" w14:textId="3A75B1C8" w:rsidR="00CF2C81" w:rsidRPr="00CF2C81" w:rsidRDefault="00CF2C81" w:rsidP="00ED725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F2C81">
              <w:rPr>
                <w:b/>
                <w:bCs/>
                <w:sz w:val="20"/>
                <w:szCs w:val="20"/>
              </w:rPr>
              <w:t xml:space="preserve">Plan za </w:t>
            </w:r>
            <w:r w:rsidR="00FC7D18">
              <w:rPr>
                <w:b/>
                <w:bCs/>
                <w:sz w:val="20"/>
                <w:szCs w:val="20"/>
              </w:rPr>
              <w:t>202</w:t>
            </w:r>
            <w:r w:rsidR="00DE6C16">
              <w:rPr>
                <w:b/>
                <w:bCs/>
                <w:sz w:val="20"/>
                <w:szCs w:val="20"/>
              </w:rPr>
              <w:t>1</w:t>
            </w:r>
            <w:r w:rsidRPr="00CF2C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22F" w14:textId="2EB853C2" w:rsidR="00CF2C81" w:rsidRPr="00CF2C81" w:rsidRDefault="00CF2C81" w:rsidP="00ED725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Projekcija </w:t>
            </w:r>
            <w:r w:rsidR="00FC7D18">
              <w:rPr>
                <w:b/>
                <w:bCs/>
                <w:sz w:val="20"/>
                <w:szCs w:val="20"/>
              </w:rPr>
              <w:t>202</w:t>
            </w:r>
            <w:r w:rsidR="00DE6C1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34B" w14:textId="604DFF46" w:rsidR="00CF2C81" w:rsidRDefault="00CF2C81" w:rsidP="00CF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Projekcija </w:t>
            </w:r>
            <w:r w:rsidR="00FC7D18">
              <w:rPr>
                <w:b/>
                <w:bCs/>
                <w:sz w:val="20"/>
                <w:szCs w:val="20"/>
              </w:rPr>
              <w:t>202</w:t>
            </w:r>
            <w:r w:rsidR="00DE6C1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.g.</w:t>
            </w:r>
          </w:p>
        </w:tc>
      </w:tr>
      <w:tr w:rsidR="00750018" w:rsidRPr="009143F9" w14:paraId="33561EE0" w14:textId="77777777" w:rsidTr="00E33C2F">
        <w:trPr>
          <w:cantSplit/>
          <w:trHeight w:val="4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35EB" w14:textId="77777777" w:rsidR="00750018" w:rsidRPr="00CF2C81" w:rsidRDefault="00750018" w:rsidP="00ED725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F2C81">
              <w:rPr>
                <w:b/>
                <w:bCs/>
                <w:sz w:val="20"/>
                <w:szCs w:val="20"/>
              </w:rPr>
              <w:t>1. GRADNJA I UREĐENJE DJEČJIH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37B0" w14:textId="5E326CC5" w:rsidR="00750018" w:rsidRPr="00CF2C81" w:rsidRDefault="00750018" w:rsidP="00ED725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CF2C81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2113" w14:textId="0E577731" w:rsidR="00750018" w:rsidRPr="00CF2C81" w:rsidRDefault="00750018" w:rsidP="0075001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C89FB" w14:textId="328B15C6" w:rsidR="00750018" w:rsidRPr="00CF2C81" w:rsidRDefault="00750018" w:rsidP="0075001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</w:tr>
      <w:tr w:rsidR="00750018" w:rsidRPr="008A0A80" w14:paraId="06F6441C" w14:textId="77777777" w:rsidTr="00E33C2F">
        <w:trPr>
          <w:cantSplit/>
          <w:trHeight w:val="1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562A" w14:textId="77777777" w:rsidR="00750018" w:rsidRPr="00CF2C81" w:rsidRDefault="00750018" w:rsidP="00ED7254">
            <w:pPr>
              <w:adjustRightInd w:val="0"/>
              <w:ind w:left="108" w:right="108"/>
              <w:rPr>
                <w:sz w:val="20"/>
                <w:szCs w:val="20"/>
              </w:rPr>
            </w:pPr>
            <w:r w:rsidRPr="00CF2C81">
              <w:rPr>
                <w:sz w:val="20"/>
                <w:szCs w:val="20"/>
              </w:rPr>
              <w:t>1. Uređenje dječjih igrališta na području Grada Ivanca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341E" w14:textId="0926DCDA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F2C81">
              <w:rPr>
                <w:b/>
                <w:sz w:val="20"/>
                <w:szCs w:val="20"/>
              </w:rPr>
              <w:t>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D38D7" w14:textId="73E88ACC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770F" w14:textId="367D76DD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750018" w:rsidRPr="008A0A80" w14:paraId="3351E1B9" w14:textId="77777777" w:rsidTr="00DE6C16">
        <w:trPr>
          <w:cantSplit/>
          <w:trHeight w:val="318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87E" w14:textId="75E76A12" w:rsidR="00750018" w:rsidRPr="00CF2C81" w:rsidRDefault="00750018" w:rsidP="00ED7254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CF2C81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1</w:t>
            </w:r>
            <w:r w:rsidRPr="00CF2C81">
              <w:rPr>
                <w:bCs/>
                <w:sz w:val="20"/>
                <w:szCs w:val="20"/>
              </w:rPr>
              <w:t>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0497" w14:textId="21B7B488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2C81">
              <w:rPr>
                <w:sz w:val="20"/>
                <w:szCs w:val="20"/>
              </w:rPr>
              <w:t>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0540" w14:textId="77777777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32D68" w14:textId="77777777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750018" w:rsidRPr="008A0A80" w14:paraId="6FDBBAA1" w14:textId="77777777" w:rsidTr="00CF2C81">
        <w:trPr>
          <w:cantSplit/>
          <w:trHeight w:val="70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C968" w14:textId="4406E853" w:rsidR="00750018" w:rsidRPr="00CF2C81" w:rsidRDefault="00750018" w:rsidP="00ED7254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CF2C81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2</w:t>
            </w:r>
            <w:r w:rsidRPr="00CF2C81">
              <w:rPr>
                <w:bCs/>
                <w:sz w:val="20"/>
                <w:szCs w:val="20"/>
              </w:rPr>
              <w:t>. Oprema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E5CF1" w14:textId="2C759173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F2C81">
              <w:rPr>
                <w:sz w:val="20"/>
                <w:szCs w:val="20"/>
              </w:rPr>
              <w:t>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724E" w14:textId="77777777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CB43" w14:textId="77777777" w:rsidR="00750018" w:rsidRPr="00CF2C81" w:rsidRDefault="00750018" w:rsidP="00ED7254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</w:tbl>
    <w:p w14:paraId="5B93A4E7" w14:textId="77777777" w:rsidR="00CF2C81" w:rsidRDefault="00CF2C81" w:rsidP="00A31E8A">
      <w:pPr>
        <w:jc w:val="both"/>
      </w:pPr>
    </w:p>
    <w:p w14:paraId="4A2A19D8" w14:textId="17572B16" w:rsidR="00865F89" w:rsidRPr="007F7085" w:rsidRDefault="00A31E8A" w:rsidP="00A31E8A">
      <w:pPr>
        <w:jc w:val="both"/>
        <w:rPr>
          <w:sz w:val="22"/>
          <w:szCs w:val="22"/>
        </w:rPr>
      </w:pPr>
      <w:r w:rsidRPr="007F7085">
        <w:rPr>
          <w:sz w:val="22"/>
          <w:szCs w:val="22"/>
        </w:rPr>
        <w:t xml:space="preserve">Financijski plan </w:t>
      </w:r>
      <w:r w:rsidR="00DF72BA" w:rsidRPr="007F7085">
        <w:rPr>
          <w:sz w:val="22"/>
          <w:szCs w:val="22"/>
        </w:rPr>
        <w:t xml:space="preserve">iznosi </w:t>
      </w:r>
      <w:r w:rsidR="00DE6C16">
        <w:rPr>
          <w:sz w:val="22"/>
          <w:szCs w:val="22"/>
        </w:rPr>
        <w:t>1</w:t>
      </w:r>
      <w:r w:rsidR="00CF2C81" w:rsidRPr="007F7085">
        <w:rPr>
          <w:sz w:val="22"/>
          <w:szCs w:val="22"/>
        </w:rPr>
        <w:t>00</w:t>
      </w:r>
      <w:r w:rsidRPr="007F7085">
        <w:rPr>
          <w:sz w:val="22"/>
          <w:szCs w:val="22"/>
        </w:rPr>
        <w:t xml:space="preserve">.000,00 kn, a odnosi se na </w:t>
      </w:r>
      <w:r w:rsidR="006766FB" w:rsidRPr="007F7085">
        <w:rPr>
          <w:sz w:val="22"/>
          <w:szCs w:val="22"/>
        </w:rPr>
        <w:t>gradnju i opremanje dječj</w:t>
      </w:r>
      <w:r w:rsidR="00DE6C16">
        <w:rPr>
          <w:sz w:val="22"/>
          <w:szCs w:val="22"/>
        </w:rPr>
        <w:t>eg</w:t>
      </w:r>
      <w:r w:rsidR="006766FB" w:rsidRPr="007F7085">
        <w:rPr>
          <w:sz w:val="22"/>
          <w:szCs w:val="22"/>
        </w:rPr>
        <w:t xml:space="preserve"> igrališta </w:t>
      </w:r>
      <w:proofErr w:type="spellStart"/>
      <w:r w:rsidR="00DE6C16">
        <w:rPr>
          <w:sz w:val="22"/>
          <w:szCs w:val="22"/>
        </w:rPr>
        <w:t>Lovrečan</w:t>
      </w:r>
      <w:proofErr w:type="spellEnd"/>
      <w:r w:rsidR="00142D74" w:rsidRPr="007F7085">
        <w:rPr>
          <w:bCs/>
          <w:sz w:val="22"/>
          <w:szCs w:val="22"/>
        </w:rPr>
        <w:t>.</w:t>
      </w:r>
    </w:p>
    <w:p w14:paraId="4C2E4AD6" w14:textId="63323937" w:rsidR="0044617F" w:rsidRPr="007F7085" w:rsidRDefault="0044617F" w:rsidP="0044617F">
      <w:pPr>
        <w:jc w:val="both"/>
        <w:rPr>
          <w:sz w:val="22"/>
          <w:szCs w:val="22"/>
        </w:rPr>
      </w:pPr>
      <w:r w:rsidRPr="007F7085">
        <w:rPr>
          <w:sz w:val="22"/>
          <w:szCs w:val="22"/>
        </w:rPr>
        <w:t xml:space="preserve">Projekcija za </w:t>
      </w:r>
      <w:r w:rsidR="00FC7D18" w:rsidRPr="007F7085">
        <w:rPr>
          <w:sz w:val="22"/>
          <w:szCs w:val="22"/>
        </w:rPr>
        <w:t>202</w:t>
      </w:r>
      <w:r w:rsidR="00DE6C16">
        <w:rPr>
          <w:sz w:val="22"/>
          <w:szCs w:val="22"/>
        </w:rPr>
        <w:t>2</w:t>
      </w:r>
      <w:r w:rsidR="00407187" w:rsidRPr="007F7085">
        <w:rPr>
          <w:sz w:val="22"/>
          <w:szCs w:val="22"/>
        </w:rPr>
        <w:t xml:space="preserve">. i </w:t>
      </w:r>
      <w:r w:rsidR="00FC7D18" w:rsidRPr="007F7085">
        <w:rPr>
          <w:sz w:val="22"/>
          <w:szCs w:val="22"/>
        </w:rPr>
        <w:t>202</w:t>
      </w:r>
      <w:r w:rsidR="00DE6C16">
        <w:rPr>
          <w:sz w:val="22"/>
          <w:szCs w:val="22"/>
        </w:rPr>
        <w:t>3</w:t>
      </w:r>
      <w:r w:rsidRPr="007F7085">
        <w:rPr>
          <w:sz w:val="22"/>
          <w:szCs w:val="22"/>
        </w:rPr>
        <w:t xml:space="preserve">. godinu temelji se na procjeni troškova radova na nastavku </w:t>
      </w:r>
      <w:r w:rsidR="002E496A" w:rsidRPr="007F7085">
        <w:rPr>
          <w:sz w:val="22"/>
          <w:szCs w:val="22"/>
        </w:rPr>
        <w:t xml:space="preserve">projekta </w:t>
      </w:r>
      <w:r w:rsidRPr="007F7085">
        <w:rPr>
          <w:sz w:val="22"/>
          <w:szCs w:val="22"/>
        </w:rPr>
        <w:t>uređenj</w:t>
      </w:r>
      <w:r w:rsidR="002E496A" w:rsidRPr="007F7085">
        <w:rPr>
          <w:sz w:val="22"/>
          <w:szCs w:val="22"/>
        </w:rPr>
        <w:t>a</w:t>
      </w:r>
      <w:r w:rsidRPr="007F7085">
        <w:rPr>
          <w:sz w:val="22"/>
          <w:szCs w:val="22"/>
        </w:rPr>
        <w:t xml:space="preserve"> i opremanj</w:t>
      </w:r>
      <w:r w:rsidR="002E496A" w:rsidRPr="007F7085">
        <w:rPr>
          <w:sz w:val="22"/>
          <w:szCs w:val="22"/>
        </w:rPr>
        <w:t>a</w:t>
      </w:r>
      <w:r w:rsidRPr="007F7085">
        <w:rPr>
          <w:sz w:val="22"/>
          <w:szCs w:val="22"/>
        </w:rPr>
        <w:t xml:space="preserve"> dječjih igrališta.</w:t>
      </w:r>
    </w:p>
    <w:p w14:paraId="26F9C5A4" w14:textId="77777777" w:rsidR="00E637F3" w:rsidRDefault="00E637F3" w:rsidP="0074004F">
      <w:pPr>
        <w:rPr>
          <w:b/>
        </w:rPr>
      </w:pPr>
    </w:p>
    <w:p w14:paraId="571FEC82" w14:textId="77777777" w:rsidR="0074004F" w:rsidRPr="00A31E8A" w:rsidRDefault="0074004F" w:rsidP="0074004F">
      <w:pPr>
        <w:rPr>
          <w:b/>
        </w:rPr>
      </w:pPr>
      <w:r w:rsidRPr="00A31E8A">
        <w:rPr>
          <w:b/>
        </w:rPr>
        <w:t xml:space="preserve">Kapitalni projekt: </w:t>
      </w:r>
      <w:r w:rsidR="00DF72BA">
        <w:rPr>
          <w:b/>
        </w:rPr>
        <w:t>Gradnja i u</w:t>
      </w:r>
      <w:r w:rsidRPr="00A31E8A">
        <w:rPr>
          <w:b/>
        </w:rPr>
        <w:t xml:space="preserve">ređenje </w:t>
      </w:r>
      <w:r>
        <w:rPr>
          <w:b/>
        </w:rPr>
        <w:t>trgova</w:t>
      </w:r>
      <w:r w:rsidR="00DF72BA">
        <w:rPr>
          <w:b/>
        </w:rPr>
        <w:t xml:space="preserve"> i parkova</w:t>
      </w:r>
    </w:p>
    <w:p w14:paraId="7EC11F73" w14:textId="77777777" w:rsidR="0074004F" w:rsidRDefault="0074004F" w:rsidP="0074004F"/>
    <w:p w14:paraId="51E07204" w14:textId="77777777" w:rsidR="0074004F" w:rsidRPr="00B213C9" w:rsidRDefault="0074004F" w:rsidP="0074004F">
      <w:pPr>
        <w:jc w:val="both"/>
      </w:pPr>
      <w:r w:rsidRPr="00B213C9">
        <w:t>Cilj projekta je stvaranje pješačke zone u samom centru Ivanca</w:t>
      </w:r>
      <w:r w:rsidR="00DF72BA">
        <w:t xml:space="preserve"> u etapama, sukladno financijskim mogućnostima</w:t>
      </w:r>
      <w:r w:rsidRPr="00B213C9">
        <w:t>, što će doprinijeti većoj urbanizaciji grada, te uređenje trgova</w:t>
      </w:r>
      <w:r w:rsidR="00730468">
        <w:t xml:space="preserve"> i</w:t>
      </w:r>
      <w:r w:rsidRPr="00B213C9">
        <w:t xml:space="preserve"> parkova</w:t>
      </w:r>
      <w:r w:rsidR="00730468">
        <w:t>.</w:t>
      </w:r>
    </w:p>
    <w:p w14:paraId="2A82EB61" w14:textId="77777777" w:rsidR="0074004F" w:rsidRPr="00B213C9" w:rsidRDefault="0074004F" w:rsidP="00856F0F">
      <w:pPr>
        <w:tabs>
          <w:tab w:val="left" w:pos="3240"/>
        </w:tabs>
      </w:pPr>
      <w:r w:rsidRPr="00B213C9">
        <w:t>Zakonska osnova</w:t>
      </w:r>
      <w:r w:rsidR="00856F0F">
        <w:tab/>
      </w:r>
    </w:p>
    <w:p w14:paraId="7B8CBF9A" w14:textId="77777777" w:rsidR="00C41276" w:rsidRDefault="00C41276" w:rsidP="00C41276">
      <w:pPr>
        <w:autoSpaceDE w:val="0"/>
        <w:autoSpaceDN w:val="0"/>
        <w:adjustRightInd w:val="0"/>
      </w:pPr>
      <w:r w:rsidRPr="00B025C0">
        <w:t>- Zakon o prostornom ure</w:t>
      </w:r>
      <w:r>
        <w:t>đ</w:t>
      </w:r>
      <w:r w:rsidRPr="00B025C0">
        <w:t xml:space="preserve">enju </w:t>
      </w:r>
      <w:r>
        <w:t>(NN 153/13),</w:t>
      </w:r>
    </w:p>
    <w:p w14:paraId="619F6F34" w14:textId="77777777" w:rsidR="00C41276" w:rsidRDefault="00C41276" w:rsidP="00C41276">
      <w:pPr>
        <w:autoSpaceDE w:val="0"/>
        <w:autoSpaceDN w:val="0"/>
        <w:adjustRightInd w:val="0"/>
      </w:pPr>
      <w:r w:rsidRPr="00B025C0">
        <w:t xml:space="preserve">- Zakon o </w:t>
      </w:r>
      <w:r>
        <w:t>gradnji</w:t>
      </w:r>
      <w:r w:rsidRPr="00B025C0">
        <w:t xml:space="preserve"> </w:t>
      </w:r>
      <w:r>
        <w:t>(NN 153/13),</w:t>
      </w:r>
    </w:p>
    <w:p w14:paraId="3C7A0C43" w14:textId="77777777" w:rsidR="0086673C" w:rsidRDefault="003D68C2" w:rsidP="0086673C">
      <w:pPr>
        <w:autoSpaceDE w:val="0"/>
        <w:autoSpaceDN w:val="0"/>
        <w:adjustRightInd w:val="0"/>
      </w:pPr>
      <w:r>
        <w:t xml:space="preserve">- </w:t>
      </w:r>
      <w:r w:rsidR="0086673C">
        <w:t xml:space="preserve">Zakon o komunalnom gospodarstvu (NN </w:t>
      </w:r>
      <w:r w:rsidR="002B4697">
        <w:t>68/18)</w:t>
      </w:r>
      <w:r w:rsidR="0086673C">
        <w:t>,</w:t>
      </w:r>
    </w:p>
    <w:p w14:paraId="31352F2C" w14:textId="77777777" w:rsidR="00D21BE7" w:rsidRPr="00B213C9" w:rsidRDefault="00D21BE7" w:rsidP="00D21BE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0B0C3323" w14:textId="77777777" w:rsidR="000A4B22" w:rsidRDefault="000A4B22" w:rsidP="0074004F"/>
    <w:p w14:paraId="48E801CF" w14:textId="440EE8F7" w:rsidR="0074004F" w:rsidRDefault="0074004F" w:rsidP="0074004F">
      <w:r w:rsidRPr="00B213C9">
        <w:t>Aktivnosti: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7"/>
        <w:gridCol w:w="1281"/>
        <w:gridCol w:w="1134"/>
        <w:gridCol w:w="1146"/>
      </w:tblGrid>
      <w:tr w:rsidR="00D20820" w:rsidRPr="009143F9" w14:paraId="70E8137F" w14:textId="77777777" w:rsidTr="00DD6371">
        <w:trPr>
          <w:cantSplit/>
          <w:trHeight w:val="1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BA93" w14:textId="77777777" w:rsidR="002C68CC" w:rsidRPr="002C68CC" w:rsidRDefault="002C68CC" w:rsidP="003E697F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2C68CC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02B" w14:textId="0F630D95" w:rsidR="002C68CC" w:rsidRPr="002C68CC" w:rsidRDefault="002C68CC" w:rsidP="002C68C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Plan za 202</w:t>
            </w:r>
            <w:r>
              <w:rPr>
                <w:b/>
                <w:sz w:val="20"/>
                <w:szCs w:val="20"/>
              </w:rPr>
              <w:t>1</w:t>
            </w:r>
            <w:r w:rsidRPr="002C68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880" w14:textId="135C9F70" w:rsidR="002C68CC" w:rsidRPr="002C68CC" w:rsidRDefault="002C68CC" w:rsidP="002C68C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Projekcija 202</w:t>
            </w:r>
            <w:r>
              <w:rPr>
                <w:b/>
                <w:sz w:val="20"/>
                <w:szCs w:val="20"/>
              </w:rPr>
              <w:t>2</w:t>
            </w:r>
            <w:r w:rsidRPr="002C68CC">
              <w:rPr>
                <w:b/>
                <w:sz w:val="20"/>
                <w:szCs w:val="20"/>
              </w:rPr>
              <w:t>.g.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D909" w14:textId="0E917A4D" w:rsidR="002C68CC" w:rsidRPr="002C68CC" w:rsidRDefault="002C68CC" w:rsidP="002C68C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Projekcija 202</w:t>
            </w:r>
            <w:r>
              <w:rPr>
                <w:b/>
                <w:sz w:val="20"/>
                <w:szCs w:val="20"/>
              </w:rPr>
              <w:t>3</w:t>
            </w:r>
            <w:r w:rsidRPr="002C68CC">
              <w:rPr>
                <w:b/>
                <w:sz w:val="20"/>
                <w:szCs w:val="20"/>
              </w:rPr>
              <w:t>.g.</w:t>
            </w:r>
          </w:p>
        </w:tc>
      </w:tr>
      <w:tr w:rsidR="000F38DA" w:rsidRPr="009143F9" w14:paraId="6FCCE846" w14:textId="77777777" w:rsidTr="00DD6371">
        <w:trPr>
          <w:cantSplit/>
          <w:trHeight w:val="1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844" w14:textId="77777777" w:rsidR="000F38DA" w:rsidRPr="002C68CC" w:rsidRDefault="000F38DA" w:rsidP="002C68CC">
            <w:pPr>
              <w:adjustRightInd w:val="0"/>
              <w:ind w:left="108" w:right="108"/>
              <w:rPr>
                <w:b/>
                <w:bCs/>
                <w:sz w:val="20"/>
                <w:szCs w:val="20"/>
              </w:rPr>
            </w:pPr>
            <w:r w:rsidRPr="002C68CC">
              <w:rPr>
                <w:b/>
                <w:bCs/>
                <w:sz w:val="20"/>
                <w:szCs w:val="20"/>
              </w:rPr>
              <w:t>2. GRADNJA I UREĐENJE TRGOVA I PARKOVA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562F" w14:textId="7EAF30DA" w:rsidR="000F38DA" w:rsidRPr="002C68CC" w:rsidRDefault="000F38DA" w:rsidP="002C68C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150</w:t>
            </w:r>
            <w:r w:rsidRPr="002C68CC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2CBB" w14:textId="13BC6713" w:rsidR="000F38DA" w:rsidRPr="002C68CC" w:rsidRDefault="00940D89" w:rsidP="002C68C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F20AA">
              <w:rPr>
                <w:b/>
                <w:sz w:val="20"/>
                <w:szCs w:val="20"/>
              </w:rPr>
              <w:t>.00</w:t>
            </w:r>
            <w:r w:rsidR="000F38DA" w:rsidRPr="002C68CC">
              <w:rPr>
                <w:b/>
                <w:sz w:val="20"/>
                <w:szCs w:val="20"/>
              </w:rPr>
              <w:t>0.000,00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8CBBD" w14:textId="4F6CC96E" w:rsidR="000F38DA" w:rsidRPr="002C68CC" w:rsidRDefault="00917801" w:rsidP="002C68C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38DA" w:rsidRPr="002C68C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0F38DA" w:rsidRPr="002C68CC">
              <w:rPr>
                <w:b/>
                <w:sz w:val="20"/>
                <w:szCs w:val="20"/>
              </w:rPr>
              <w:t>00.000,00</w:t>
            </w:r>
          </w:p>
        </w:tc>
      </w:tr>
      <w:tr w:rsidR="000F38DA" w:rsidRPr="002C68CC" w14:paraId="10991766" w14:textId="3AF3360F" w:rsidTr="00DD6371">
        <w:trPr>
          <w:cantSplit/>
          <w:trHeight w:val="1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7C84" w14:textId="77777777" w:rsidR="000F38DA" w:rsidRPr="002C68CC" w:rsidRDefault="000F38DA" w:rsidP="003E697F">
            <w:pPr>
              <w:adjustRightInd w:val="0"/>
              <w:ind w:left="108" w:right="108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2.1. Glavni gradski park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9AAF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2BEEF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DB38B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F38DA" w:rsidRPr="002C68CC" w14:paraId="2994C13A" w14:textId="4E8DAA05" w:rsidTr="00DD6371">
        <w:trPr>
          <w:cantSplit/>
          <w:trHeight w:val="132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637" w14:textId="77777777" w:rsidR="000F38DA" w:rsidRPr="002C68CC" w:rsidRDefault="000F38DA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2C68CC">
              <w:rPr>
                <w:bCs/>
                <w:sz w:val="20"/>
                <w:szCs w:val="20"/>
              </w:rPr>
              <w:t>2.1.1. Uređenje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34BB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200.000,00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62DD0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06972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F38DA" w:rsidRPr="002C68CC" w14:paraId="13171794" w14:textId="0F99F5E9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9900" w14:textId="77777777" w:rsidR="000F38DA" w:rsidRPr="002C68CC" w:rsidRDefault="000F38DA" w:rsidP="003E697F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2.2. Glavni gradski trg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B610E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800.000,00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EEDC1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BA7AA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F38DA" w:rsidRPr="002C68CC" w14:paraId="3F878155" w14:textId="42DBEB31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32CC" w14:textId="77777777" w:rsidR="000F38DA" w:rsidRPr="002C68CC" w:rsidRDefault="000F38DA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2C68CC">
              <w:rPr>
                <w:bCs/>
                <w:sz w:val="20"/>
                <w:szCs w:val="20"/>
              </w:rPr>
              <w:t>2.2.1. Otkup zemljišta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B87D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400.000,00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DF23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A86C1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F38DA" w:rsidRPr="002C68CC" w14:paraId="60D05431" w14:textId="1F704653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5F43" w14:textId="58E853A3" w:rsidR="000F38DA" w:rsidRPr="002C68CC" w:rsidRDefault="000F38DA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2C68CC">
              <w:rPr>
                <w:bCs/>
                <w:sz w:val="20"/>
                <w:szCs w:val="20"/>
              </w:rPr>
              <w:t xml:space="preserve">2.2.2. </w:t>
            </w:r>
            <w:r w:rsidR="001D1B0E">
              <w:rPr>
                <w:bCs/>
                <w:sz w:val="20"/>
                <w:szCs w:val="20"/>
              </w:rPr>
              <w:t>Projektna dokumentacija i p</w:t>
            </w:r>
            <w:r w:rsidRPr="002C68CC">
              <w:rPr>
                <w:bCs/>
                <w:sz w:val="20"/>
                <w:szCs w:val="20"/>
              </w:rPr>
              <w:t>ripremni radovi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86ED2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400.000,00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DAD1D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69813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F38DA" w:rsidRPr="002C68CC" w14:paraId="04C9DCE5" w14:textId="7C44D409" w:rsidTr="00DD6371">
        <w:trPr>
          <w:cantSplit/>
          <w:trHeight w:val="222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B6D7" w14:textId="77777777" w:rsidR="000F38DA" w:rsidRPr="002C68CC" w:rsidRDefault="000F38DA" w:rsidP="003E697F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2.3. Biciklistički poligon u Ivancu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5242E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4B88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753E1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F38DA" w:rsidRPr="002C68CC" w14:paraId="763D2639" w14:textId="1DA9CD43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EB1F" w14:textId="77777777" w:rsidR="000F38DA" w:rsidRPr="002C68CC" w:rsidRDefault="000F38DA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2C68CC">
              <w:rPr>
                <w:bCs/>
                <w:sz w:val="20"/>
                <w:szCs w:val="20"/>
              </w:rPr>
              <w:t>2.3.1. Uređenje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EB5C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DD18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433D2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F38DA" w:rsidRPr="002C68CC" w14:paraId="7F77BFF9" w14:textId="6BB4C6C5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7F0" w14:textId="77777777" w:rsidR="000F38DA" w:rsidRPr="002C68CC" w:rsidRDefault="000F38DA" w:rsidP="003E697F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lastRenderedPageBreak/>
              <w:t xml:space="preserve">2.4. Trg u </w:t>
            </w:r>
            <w:proofErr w:type="spellStart"/>
            <w:r w:rsidRPr="002C68CC">
              <w:rPr>
                <w:sz w:val="20"/>
                <w:szCs w:val="20"/>
              </w:rPr>
              <w:t>Margečanu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A5625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C68CC">
              <w:rPr>
                <w:b/>
                <w:sz w:val="20"/>
                <w:szCs w:val="20"/>
              </w:rPr>
              <w:t>1.050.000,00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2973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A5859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F38DA" w:rsidRPr="002C68CC" w14:paraId="0B275D52" w14:textId="065C0DA6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C173" w14:textId="77777777" w:rsidR="000F38DA" w:rsidRPr="002C68CC" w:rsidRDefault="000F38DA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2C68CC">
              <w:rPr>
                <w:bCs/>
                <w:sz w:val="20"/>
                <w:szCs w:val="20"/>
              </w:rPr>
              <w:t>2.4.1. Gradnja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1458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1.000.000,00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2581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45F71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F38DA" w:rsidRPr="002C68CC" w14:paraId="1F9A2667" w14:textId="354E2620" w:rsidTr="00DD6371">
        <w:trPr>
          <w:cantSplit/>
          <w:trHeight w:val="106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D541" w14:textId="77777777" w:rsidR="000F38DA" w:rsidRPr="002C68CC" w:rsidRDefault="000F38DA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2C68CC">
              <w:rPr>
                <w:bCs/>
                <w:sz w:val="20"/>
                <w:szCs w:val="20"/>
              </w:rPr>
              <w:t>2.4.2. Nadzor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8D682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C68CC">
              <w:rPr>
                <w:sz w:val="20"/>
                <w:szCs w:val="20"/>
              </w:rPr>
              <w:t>50.000,00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610A6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97CAF" w14:textId="77777777" w:rsidR="000F38DA" w:rsidRPr="002C68CC" w:rsidRDefault="000F38DA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</w:tbl>
    <w:p w14:paraId="5A8B8A97" w14:textId="77777777" w:rsidR="00FF3F86" w:rsidRDefault="00FF3F86" w:rsidP="0074004F"/>
    <w:p w14:paraId="3650B7F8" w14:textId="77C48400" w:rsidR="00FA467A" w:rsidRDefault="0074004F" w:rsidP="00D61B83">
      <w:pPr>
        <w:jc w:val="both"/>
      </w:pPr>
      <w:r>
        <w:t xml:space="preserve">Financijski plan </w:t>
      </w:r>
      <w:r w:rsidR="00DF72BA">
        <w:t>iznosi</w:t>
      </w:r>
      <w:r>
        <w:t xml:space="preserve"> </w:t>
      </w:r>
      <w:r w:rsidR="001C004A">
        <w:t>2.</w:t>
      </w:r>
      <w:r w:rsidR="003A445B">
        <w:t>150</w:t>
      </w:r>
      <w:r w:rsidR="00C54B84">
        <w:t>.</w:t>
      </w:r>
      <w:r>
        <w:t xml:space="preserve">000,00 kn, a </w:t>
      </w:r>
      <w:r w:rsidRPr="00FA467A">
        <w:t xml:space="preserve">odnosi se na </w:t>
      </w:r>
      <w:r w:rsidR="00CD4DBE" w:rsidRPr="00FA467A">
        <w:t xml:space="preserve">troškove </w:t>
      </w:r>
      <w:r w:rsidR="005A72BA" w:rsidRPr="00FA467A">
        <w:t xml:space="preserve">nastavka uređenja </w:t>
      </w:r>
      <w:r w:rsidR="001C004A">
        <w:t xml:space="preserve">glavnog gradskog parka </w:t>
      </w:r>
      <w:r w:rsidR="005A72BA" w:rsidRPr="00FA467A">
        <w:t>u Ivancu,</w:t>
      </w:r>
      <w:r w:rsidR="00CD4DBE" w:rsidRPr="00FA467A">
        <w:t xml:space="preserve"> </w:t>
      </w:r>
      <w:r w:rsidR="001C004A">
        <w:t xml:space="preserve">izradu glavnog projekta za </w:t>
      </w:r>
      <w:r w:rsidR="003A445B">
        <w:t xml:space="preserve">glavni gradski trg, </w:t>
      </w:r>
      <w:r w:rsidR="001C004A">
        <w:t xml:space="preserve">uređenje </w:t>
      </w:r>
      <w:r w:rsidR="00FA467A">
        <w:t xml:space="preserve">bivšeg biciklističkog poligona kod Osnovne škole, </w:t>
      </w:r>
      <w:r w:rsidR="001C004A">
        <w:t xml:space="preserve">te radove na </w:t>
      </w:r>
      <w:r w:rsidR="003A445B">
        <w:t>nastavku</w:t>
      </w:r>
      <w:r w:rsidR="00FA467A">
        <w:t xml:space="preserve"> uređenja trga u </w:t>
      </w:r>
      <w:proofErr w:type="spellStart"/>
      <w:r w:rsidR="00FA467A">
        <w:t>Margečanu</w:t>
      </w:r>
      <w:proofErr w:type="spellEnd"/>
      <w:r w:rsidR="00FA467A">
        <w:t>.</w:t>
      </w:r>
    </w:p>
    <w:p w14:paraId="51AE7B43" w14:textId="50D37BDD" w:rsidR="00DF47A6" w:rsidRPr="00FA467A" w:rsidRDefault="00DF47A6" w:rsidP="00DF47A6">
      <w:pPr>
        <w:jc w:val="both"/>
      </w:pPr>
      <w:r w:rsidRPr="00FA467A">
        <w:t xml:space="preserve">Projekcija za </w:t>
      </w:r>
      <w:r w:rsidR="00FC7D18">
        <w:t>202</w:t>
      </w:r>
      <w:r w:rsidR="003A445B">
        <w:t>2</w:t>
      </w:r>
      <w:r w:rsidR="00407187" w:rsidRPr="00FA467A">
        <w:t xml:space="preserve">. i </w:t>
      </w:r>
      <w:r w:rsidR="00FC7D18">
        <w:t>202</w:t>
      </w:r>
      <w:r w:rsidR="003A445B">
        <w:t>3</w:t>
      </w:r>
      <w:r w:rsidRPr="00FA467A">
        <w:t xml:space="preserve">. godinu temelji se na procjeni troškova pripremnih aktivnosti i </w:t>
      </w:r>
      <w:r w:rsidR="001C004A">
        <w:t>početka</w:t>
      </w:r>
      <w:r w:rsidRPr="00FA467A">
        <w:t xml:space="preserve"> uređenja glavnog gradskog trga </w:t>
      </w:r>
      <w:r w:rsidR="001C004A">
        <w:t>te</w:t>
      </w:r>
      <w:r w:rsidRPr="00FA467A">
        <w:t xml:space="preserve"> nastavka uređenja javnih površina.</w:t>
      </w:r>
    </w:p>
    <w:p w14:paraId="2DBB8ED6" w14:textId="77777777" w:rsidR="000F57B8" w:rsidRDefault="000F57B8" w:rsidP="000F57B8">
      <w:pPr>
        <w:rPr>
          <w:b/>
        </w:rPr>
      </w:pPr>
    </w:p>
    <w:p w14:paraId="184420A0" w14:textId="77777777" w:rsidR="002B7447" w:rsidRPr="00A31E8A" w:rsidRDefault="002B7447" w:rsidP="002B7447">
      <w:pPr>
        <w:rPr>
          <w:b/>
        </w:rPr>
      </w:pPr>
      <w:r w:rsidRPr="00A31E8A">
        <w:rPr>
          <w:b/>
        </w:rPr>
        <w:t xml:space="preserve">Kapitalni projekt: </w:t>
      </w:r>
      <w:r w:rsidR="00DF72BA">
        <w:rPr>
          <w:b/>
        </w:rPr>
        <w:t>Gradnja i u</w:t>
      </w:r>
      <w:r w:rsidRPr="00A31E8A">
        <w:rPr>
          <w:b/>
        </w:rPr>
        <w:t xml:space="preserve">ređenje </w:t>
      </w:r>
      <w:r>
        <w:rPr>
          <w:b/>
        </w:rPr>
        <w:t>groblja</w:t>
      </w:r>
    </w:p>
    <w:p w14:paraId="08A467AE" w14:textId="77777777" w:rsidR="002B7447" w:rsidRDefault="002B7447" w:rsidP="002B7447"/>
    <w:p w14:paraId="262A319D" w14:textId="77777777" w:rsidR="00E06967" w:rsidRPr="00B213C9" w:rsidRDefault="002B7447" w:rsidP="002B7447">
      <w:pPr>
        <w:jc w:val="both"/>
      </w:pPr>
      <w:r w:rsidRPr="00B213C9">
        <w:t xml:space="preserve">Cilj projekta je </w:t>
      </w:r>
      <w:r w:rsidR="00E06967" w:rsidRPr="00B213C9">
        <w:t>pravovremenim ulaganjem u dogradnju i poboljšanje standarda postojećih groblja očuvati</w:t>
      </w:r>
      <w:r w:rsidR="003471D5" w:rsidRPr="00B213C9">
        <w:t xml:space="preserve"> zatečenu lokalnu arhitekturu, te </w:t>
      </w:r>
      <w:r w:rsidR="00E06967" w:rsidRPr="00B213C9">
        <w:t>stvara</w:t>
      </w:r>
      <w:r w:rsidR="00DF72BA">
        <w:t>nje</w:t>
      </w:r>
      <w:r w:rsidR="003471D5" w:rsidRPr="00B213C9">
        <w:t xml:space="preserve"> pretpostavk</w:t>
      </w:r>
      <w:r w:rsidR="00DF72BA">
        <w:t>i</w:t>
      </w:r>
      <w:r w:rsidR="003471D5" w:rsidRPr="00B213C9">
        <w:t xml:space="preserve"> za dugoročno održiv razvoj i uređenje groblja, kao i </w:t>
      </w:r>
      <w:r w:rsidRPr="00B213C9">
        <w:t xml:space="preserve">stvaranje </w:t>
      </w:r>
      <w:r w:rsidR="003471D5" w:rsidRPr="00B213C9">
        <w:t>preduvjeta za širenje uz poštivanje značajki pojedinog groblja</w:t>
      </w:r>
      <w:r w:rsidR="00E06967" w:rsidRPr="00B213C9">
        <w:t xml:space="preserve">, a posebice na novom gradskom groblju u Ivancu, zbog svojeg značaja i veličine. </w:t>
      </w:r>
    </w:p>
    <w:p w14:paraId="3BBE1EBD" w14:textId="77777777" w:rsidR="002B7447" w:rsidRPr="00B213C9" w:rsidRDefault="002B7447" w:rsidP="002B7447">
      <w:r w:rsidRPr="00B213C9">
        <w:t>Zakonska osnova</w:t>
      </w:r>
    </w:p>
    <w:p w14:paraId="07AE162D" w14:textId="77777777" w:rsidR="002B7447" w:rsidRPr="00B213C9" w:rsidRDefault="002B7447" w:rsidP="002B7447">
      <w:pPr>
        <w:autoSpaceDE w:val="0"/>
        <w:autoSpaceDN w:val="0"/>
        <w:adjustRightInd w:val="0"/>
      </w:pPr>
      <w:r w:rsidRPr="00B213C9">
        <w:t xml:space="preserve">- Zakon o </w:t>
      </w:r>
      <w:r w:rsidR="003471D5" w:rsidRPr="00B213C9">
        <w:t>grobljima</w:t>
      </w:r>
      <w:r w:rsidRPr="00B213C9">
        <w:t xml:space="preserve"> (NN </w:t>
      </w:r>
      <w:r w:rsidR="003471D5" w:rsidRPr="00B213C9">
        <w:t>19/98</w:t>
      </w:r>
      <w:r w:rsidR="0086673C">
        <w:t>, 50/12</w:t>
      </w:r>
      <w:r w:rsidRPr="00B213C9">
        <w:t>),</w:t>
      </w:r>
    </w:p>
    <w:p w14:paraId="3C9563D6" w14:textId="77777777" w:rsidR="00BE0B74" w:rsidRPr="00B213C9" w:rsidRDefault="002B7447" w:rsidP="00BE0B74">
      <w:pPr>
        <w:autoSpaceDE w:val="0"/>
        <w:autoSpaceDN w:val="0"/>
        <w:adjustRightInd w:val="0"/>
      </w:pPr>
      <w:r w:rsidRPr="00B213C9">
        <w:t xml:space="preserve">- </w:t>
      </w:r>
      <w:r w:rsidR="00BE0B74" w:rsidRPr="00B213C9">
        <w:t>Pravilnik o grobljima (NN 99/02),</w:t>
      </w:r>
    </w:p>
    <w:p w14:paraId="4A23D804" w14:textId="77777777" w:rsidR="0086673C" w:rsidRDefault="0086673C" w:rsidP="0086673C">
      <w:pPr>
        <w:autoSpaceDE w:val="0"/>
        <w:autoSpaceDN w:val="0"/>
        <w:adjustRightInd w:val="0"/>
      </w:pPr>
      <w:r>
        <w:t>- Zakon</w:t>
      </w:r>
      <w:r w:rsidR="002B4697">
        <w:t xml:space="preserve"> o komunalnom gospodarstvu (NN 68/18</w:t>
      </w:r>
      <w:r>
        <w:t>),</w:t>
      </w:r>
    </w:p>
    <w:p w14:paraId="5C22F209" w14:textId="77777777" w:rsidR="00D21BE7" w:rsidRDefault="00D21BE7" w:rsidP="00D21BE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43AC2247" w14:textId="77777777" w:rsidR="007F7085" w:rsidRPr="00B213C9" w:rsidRDefault="007F7085" w:rsidP="00D21BE7">
      <w:pPr>
        <w:autoSpaceDE w:val="0"/>
        <w:autoSpaceDN w:val="0"/>
        <w:adjustRightInd w:val="0"/>
      </w:pPr>
    </w:p>
    <w:p w14:paraId="275A1A61" w14:textId="18D1EE46" w:rsidR="00F37203" w:rsidRDefault="002B7447" w:rsidP="002B7447">
      <w:r w:rsidRPr="00B213C9">
        <w:t>Aktivnosti: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276"/>
        <w:gridCol w:w="1276"/>
      </w:tblGrid>
      <w:tr w:rsidR="00DD6371" w:rsidRPr="009143F9" w14:paraId="3BA3BC3D" w14:textId="77777777" w:rsidTr="00DD6371">
        <w:trPr>
          <w:cantSplit/>
          <w:trHeight w:val="1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30A1" w14:textId="77777777" w:rsidR="00DD6371" w:rsidRPr="00DD6371" w:rsidRDefault="00DD6371" w:rsidP="003E69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jc w:val="center"/>
              <w:rPr>
                <w:b/>
                <w:bCs/>
                <w:sz w:val="20"/>
                <w:szCs w:val="20"/>
              </w:rPr>
            </w:pPr>
            <w:r w:rsidRPr="002C68CC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750B" w14:textId="77777777" w:rsidR="00DD6371" w:rsidRPr="00DD6371" w:rsidRDefault="00DD6371" w:rsidP="00DD63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DD6371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7B1" w14:textId="77777777" w:rsidR="00DD6371" w:rsidRPr="00DD6371" w:rsidRDefault="00DD6371" w:rsidP="00DD63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DD6371">
              <w:rPr>
                <w:b/>
                <w:bCs/>
                <w:sz w:val="20"/>
                <w:szCs w:val="20"/>
              </w:rPr>
              <w:t>Projekcija 2022.g.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331" w14:textId="77777777" w:rsidR="00DD6371" w:rsidRPr="00DD6371" w:rsidRDefault="00DD6371" w:rsidP="00DD63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DD6371">
              <w:rPr>
                <w:b/>
                <w:bCs/>
                <w:sz w:val="20"/>
                <w:szCs w:val="20"/>
              </w:rPr>
              <w:t>Projekcija 2023.g.</w:t>
            </w:r>
          </w:p>
        </w:tc>
      </w:tr>
      <w:tr w:rsidR="00087DD6" w:rsidRPr="00DD6371" w14:paraId="5E340480" w14:textId="103CFF6C" w:rsidTr="00087DD6">
        <w:trPr>
          <w:cantSplit/>
          <w:trHeight w:val="106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40E1B923" w14:textId="3E02CA04" w:rsidR="00087DD6" w:rsidRPr="00DD6371" w:rsidRDefault="00087DD6" w:rsidP="003E69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0"/>
                <w:szCs w:val="20"/>
              </w:rPr>
            </w:pPr>
            <w:r w:rsidRPr="00DD6371">
              <w:rPr>
                <w:b/>
                <w:bCs/>
                <w:sz w:val="20"/>
                <w:szCs w:val="20"/>
              </w:rPr>
              <w:t>3. GRADNJA I UREĐENJE GROBLJA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0218E" w14:textId="7FBE4172" w:rsidR="00087DD6" w:rsidRPr="00DD6371" w:rsidRDefault="00087DD6" w:rsidP="003E69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DD6371">
              <w:rPr>
                <w:b/>
                <w:bCs/>
                <w:sz w:val="20"/>
                <w:szCs w:val="20"/>
              </w:rPr>
              <w:t>555.000,00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751E" w14:textId="2A018324" w:rsidR="00087DD6" w:rsidRPr="00DD6371" w:rsidRDefault="00D67F2F" w:rsidP="003E69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9061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1943A9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8138" w14:textId="4298C406" w:rsidR="00087DD6" w:rsidRPr="00DD6371" w:rsidRDefault="00D67F2F" w:rsidP="003E69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9061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1943A9">
              <w:rPr>
                <w:b/>
                <w:bCs/>
                <w:sz w:val="20"/>
                <w:szCs w:val="20"/>
              </w:rPr>
              <w:t>20.000,00</w:t>
            </w:r>
          </w:p>
        </w:tc>
      </w:tr>
      <w:tr w:rsidR="00087DD6" w:rsidRPr="00DD6371" w14:paraId="47DBEB03" w14:textId="46ACF08C" w:rsidTr="00051C05">
        <w:trPr>
          <w:cantSplit/>
          <w:trHeight w:val="301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CB4A" w14:textId="77777777" w:rsidR="00087DD6" w:rsidRPr="00DD6371" w:rsidRDefault="00087DD6" w:rsidP="003E697F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DD6371">
              <w:rPr>
                <w:bCs/>
                <w:sz w:val="20"/>
                <w:szCs w:val="20"/>
              </w:rPr>
              <w:t>3.1. Gradnja i uređenje groblja – Ivanec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593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DD6371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53582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51554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87DD6" w:rsidRPr="00DD6371" w14:paraId="7FD448EC" w14:textId="39603BFD" w:rsidTr="00051C05">
        <w:trPr>
          <w:cantSplit/>
          <w:trHeight w:val="106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B74" w14:textId="33086D69" w:rsidR="00087DD6" w:rsidRPr="00DD6371" w:rsidRDefault="00087DD6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DD6371">
              <w:rPr>
                <w:bCs/>
                <w:sz w:val="20"/>
                <w:szCs w:val="20"/>
              </w:rPr>
              <w:t>3.1.1. Gradnja</w:t>
            </w:r>
            <w:r w:rsidR="003C12B8">
              <w:rPr>
                <w:bCs/>
                <w:sz w:val="20"/>
                <w:szCs w:val="20"/>
              </w:rPr>
              <w:t xml:space="preserve"> i projekti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7F4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DD6371">
              <w:rPr>
                <w:sz w:val="20"/>
                <w:szCs w:val="20"/>
              </w:rPr>
              <w:t>150.000,00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EC76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A3825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87DD6" w:rsidRPr="00DD6371" w14:paraId="0A5C383E" w14:textId="2378B81D" w:rsidTr="00051C05">
        <w:trPr>
          <w:cantSplit/>
          <w:trHeight w:val="238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F06A" w14:textId="77777777" w:rsidR="00087DD6" w:rsidRPr="00DD6371" w:rsidRDefault="00087DD6" w:rsidP="003E697F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DD6371">
              <w:rPr>
                <w:bCs/>
                <w:sz w:val="20"/>
                <w:szCs w:val="20"/>
              </w:rPr>
              <w:t xml:space="preserve">3.2. Gradnja i uređenje groblja – Radovan, </w:t>
            </w:r>
            <w:proofErr w:type="spellStart"/>
            <w:r w:rsidRPr="00DD6371">
              <w:rPr>
                <w:bCs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1854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DD6371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BA0F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EDC0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87DD6" w:rsidRPr="00DD6371" w14:paraId="67E03837" w14:textId="3B1CC7F3" w:rsidTr="00051C05">
        <w:trPr>
          <w:cantSplit/>
          <w:trHeight w:val="106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1C25" w14:textId="77777777" w:rsidR="00087DD6" w:rsidRPr="00DD6371" w:rsidRDefault="00087DD6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DD6371">
              <w:rPr>
                <w:bCs/>
                <w:sz w:val="20"/>
                <w:szCs w:val="20"/>
              </w:rPr>
              <w:t>3.2.1.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885D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DD6371">
              <w:rPr>
                <w:sz w:val="20"/>
                <w:szCs w:val="20"/>
              </w:rPr>
              <w:t>350.000,00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C789D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9004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087DD6" w:rsidRPr="00DD6371" w14:paraId="6D9E3ACB" w14:textId="6DB4C204" w:rsidTr="00051C05">
        <w:trPr>
          <w:cantSplit/>
          <w:trHeight w:val="245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09E0" w14:textId="77777777" w:rsidR="00087DD6" w:rsidRPr="00DD6371" w:rsidRDefault="00087DD6" w:rsidP="003E697F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DD6371">
              <w:rPr>
                <w:sz w:val="20"/>
                <w:szCs w:val="20"/>
              </w:rPr>
              <w:t>3.3. Gradnja groblja – grobnice i okviri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C592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DD6371">
              <w:rPr>
                <w:b/>
                <w:sz w:val="20"/>
                <w:szCs w:val="20"/>
              </w:rPr>
              <w:t>55.000,00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F1DA7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081E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087DD6" w:rsidRPr="00DD6371" w14:paraId="4904CC0A" w14:textId="463839B2" w:rsidTr="00051C05">
        <w:trPr>
          <w:cantSplit/>
          <w:trHeight w:val="106"/>
          <w:jc w:val="center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EE9E" w14:textId="77777777" w:rsidR="00087DD6" w:rsidRPr="00DD6371" w:rsidRDefault="00087DD6" w:rsidP="003E697F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DD6371">
              <w:rPr>
                <w:bCs/>
                <w:sz w:val="20"/>
                <w:szCs w:val="20"/>
              </w:rPr>
              <w:t>3.3.1.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81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DD6371">
              <w:rPr>
                <w:sz w:val="20"/>
                <w:szCs w:val="20"/>
              </w:rPr>
              <w:t>55.000,00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2BF8C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A307C" w14:textId="77777777" w:rsidR="00087DD6" w:rsidRPr="00DD6371" w:rsidRDefault="00087DD6" w:rsidP="003E697F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</w:tbl>
    <w:p w14:paraId="2B81A140" w14:textId="77777777" w:rsidR="00F37203" w:rsidRDefault="00F37203" w:rsidP="002B7447"/>
    <w:p w14:paraId="36B860B2" w14:textId="44B5AEB6" w:rsidR="00DF72BA" w:rsidRDefault="002B7447" w:rsidP="002B7447">
      <w:pPr>
        <w:jc w:val="both"/>
      </w:pPr>
      <w:r>
        <w:t xml:space="preserve">Financijski plan </w:t>
      </w:r>
      <w:r w:rsidR="00DF72BA">
        <w:t>iznosi</w:t>
      </w:r>
      <w:r w:rsidR="003471D5">
        <w:t xml:space="preserve"> </w:t>
      </w:r>
      <w:r w:rsidR="006E5FAC">
        <w:t>555</w:t>
      </w:r>
      <w:r>
        <w:t xml:space="preserve">.000,00 kn, </w:t>
      </w:r>
      <w:r w:rsidR="00DF72BA">
        <w:t xml:space="preserve">a odnosi se na troškove </w:t>
      </w:r>
      <w:r w:rsidR="00037710">
        <w:t xml:space="preserve">nastavka </w:t>
      </w:r>
      <w:r w:rsidR="007A5059">
        <w:t>uređenj</w:t>
      </w:r>
      <w:r w:rsidR="002B4697">
        <w:t xml:space="preserve">a groblja u Ivancu, </w:t>
      </w:r>
      <w:r w:rsidR="007A5059">
        <w:t xml:space="preserve"> </w:t>
      </w:r>
      <w:proofErr w:type="spellStart"/>
      <w:r w:rsidR="007A5059">
        <w:t>Margečanu</w:t>
      </w:r>
      <w:proofErr w:type="spellEnd"/>
      <w:r w:rsidR="007A5059">
        <w:t xml:space="preserve"> i </w:t>
      </w:r>
      <w:r w:rsidR="00F3617C">
        <w:t>Radovanu</w:t>
      </w:r>
      <w:r w:rsidR="00CC1ED5">
        <w:t>.</w:t>
      </w:r>
    </w:p>
    <w:p w14:paraId="5A626262" w14:textId="78D2A83A" w:rsidR="008801AE" w:rsidRDefault="008801AE" w:rsidP="008801AE">
      <w:pPr>
        <w:jc w:val="both"/>
      </w:pPr>
      <w:r>
        <w:t xml:space="preserve">Projekcija za </w:t>
      </w:r>
      <w:r w:rsidR="00FC7D18">
        <w:t>202</w:t>
      </w:r>
      <w:r w:rsidR="00403C22">
        <w:t>2</w:t>
      </w:r>
      <w:r w:rsidR="00407187">
        <w:t xml:space="preserve">. i </w:t>
      </w:r>
      <w:r w:rsidR="00FC7D18">
        <w:t>202</w:t>
      </w:r>
      <w:r w:rsidR="00403C22">
        <w:t>3</w:t>
      </w:r>
      <w:r>
        <w:t>. godinu temelji se na procjeni troškova građevinskih radova i uređenja groblja</w:t>
      </w:r>
      <w:r w:rsidR="00C61512">
        <w:t xml:space="preserve"> prema višegodišnjem Planu uređenja groblja</w:t>
      </w:r>
      <w:r w:rsidR="00711F35">
        <w:t xml:space="preserve"> te početku aktivnosti na pripremi nove plohe za ukop na groblju Ivanec</w:t>
      </w:r>
      <w:r>
        <w:t>.</w:t>
      </w:r>
    </w:p>
    <w:p w14:paraId="0B65271E" w14:textId="77777777" w:rsidR="00E637F3" w:rsidRDefault="00E637F3" w:rsidP="00476369">
      <w:pPr>
        <w:rPr>
          <w:b/>
        </w:rPr>
      </w:pPr>
    </w:p>
    <w:p w14:paraId="429A5163" w14:textId="77777777" w:rsidR="00476369" w:rsidRDefault="00476369" w:rsidP="00476369">
      <w:pPr>
        <w:rPr>
          <w:b/>
          <w:bCs/>
          <w:sz w:val="21"/>
          <w:szCs w:val="21"/>
        </w:rPr>
      </w:pPr>
      <w:r w:rsidRPr="00A31E8A">
        <w:rPr>
          <w:b/>
        </w:rPr>
        <w:t xml:space="preserve">Kapitalni projekt: </w:t>
      </w:r>
      <w:r w:rsidR="00D201F6" w:rsidRPr="00D201F6">
        <w:rPr>
          <w:b/>
          <w:bCs/>
        </w:rPr>
        <w:t>Izgradnja i rekonstrukcija prometnica, prometnih površina i nogostupa</w:t>
      </w:r>
    </w:p>
    <w:p w14:paraId="3531123D" w14:textId="77777777" w:rsidR="00D201F6" w:rsidRDefault="00D201F6" w:rsidP="00476369"/>
    <w:p w14:paraId="36958EBE" w14:textId="77777777" w:rsidR="00476369" w:rsidRDefault="00476369" w:rsidP="00476369">
      <w:pPr>
        <w:jc w:val="both"/>
      </w:pPr>
      <w:r w:rsidRPr="00B213C9">
        <w:t>Cilj projekta</w:t>
      </w:r>
      <w:r>
        <w:t xml:space="preserve"> je </w:t>
      </w:r>
      <w:r w:rsidR="00D21BE7" w:rsidRPr="00D21BE7">
        <w:t>uskla</w:t>
      </w:r>
      <w:r w:rsidR="00D21BE7">
        <w:t>đ</w:t>
      </w:r>
      <w:r w:rsidR="00D21BE7" w:rsidRPr="00D21BE7">
        <w:t xml:space="preserve">enim investicijskim zahvatima s </w:t>
      </w:r>
      <w:r w:rsidR="00D21BE7">
        <w:t xml:space="preserve">naglaskom </w:t>
      </w:r>
      <w:r w:rsidR="00D21BE7" w:rsidRPr="00D21BE7">
        <w:t>na izgradnju prometnica s</w:t>
      </w:r>
      <w:r w:rsidR="00D21BE7">
        <w:t xml:space="preserve"> </w:t>
      </w:r>
      <w:r w:rsidR="00D21BE7" w:rsidRPr="00D21BE7">
        <w:t>nužnom prate</w:t>
      </w:r>
      <w:r w:rsidR="00D21BE7">
        <w:t>ć</w:t>
      </w:r>
      <w:r w:rsidR="00D21BE7" w:rsidRPr="00D21BE7">
        <w:t>om infrastrukturom osigurati proširenje prometne mreže i pripadnih javnih prometnih</w:t>
      </w:r>
      <w:r w:rsidR="00D21BE7">
        <w:t xml:space="preserve"> površina,</w:t>
      </w:r>
      <w:r>
        <w:t xml:space="preserve"> podići prometni standard</w:t>
      </w:r>
      <w:r w:rsidR="00D21BE7">
        <w:t xml:space="preserve"> i sigurnost</w:t>
      </w:r>
      <w:r>
        <w:t>.</w:t>
      </w:r>
    </w:p>
    <w:p w14:paraId="2291EE09" w14:textId="77777777" w:rsidR="00476369" w:rsidRPr="00B213C9" w:rsidRDefault="00476369" w:rsidP="00476369">
      <w:r w:rsidRPr="00B213C9">
        <w:t>Zakonska osnova</w:t>
      </w:r>
    </w:p>
    <w:p w14:paraId="53658F08" w14:textId="77777777" w:rsidR="00C41276" w:rsidRDefault="00C41276" w:rsidP="00C41276">
      <w:pPr>
        <w:autoSpaceDE w:val="0"/>
        <w:autoSpaceDN w:val="0"/>
        <w:adjustRightInd w:val="0"/>
      </w:pPr>
      <w:r w:rsidRPr="00B025C0">
        <w:t>- Zakon o prostornom ure</w:t>
      </w:r>
      <w:r>
        <w:t>đ</w:t>
      </w:r>
      <w:r w:rsidRPr="00B025C0">
        <w:t xml:space="preserve">enju </w:t>
      </w:r>
      <w:r>
        <w:t>(NN 153/13),</w:t>
      </w:r>
    </w:p>
    <w:p w14:paraId="7A2D15D9" w14:textId="77777777" w:rsidR="00C41276" w:rsidRDefault="00C41276" w:rsidP="00C41276">
      <w:pPr>
        <w:autoSpaceDE w:val="0"/>
        <w:autoSpaceDN w:val="0"/>
        <w:adjustRightInd w:val="0"/>
      </w:pPr>
      <w:r w:rsidRPr="00B025C0">
        <w:t xml:space="preserve">- Zakon o </w:t>
      </w:r>
      <w:r>
        <w:t>gradnji</w:t>
      </w:r>
      <w:r w:rsidRPr="00B025C0">
        <w:t xml:space="preserve"> </w:t>
      </w:r>
      <w:r>
        <w:t>(NN 153/13),</w:t>
      </w:r>
    </w:p>
    <w:p w14:paraId="2EAC0DE9" w14:textId="77777777" w:rsidR="00B537CD" w:rsidRPr="00B213C9" w:rsidRDefault="00B537CD" w:rsidP="00B537CD">
      <w:pPr>
        <w:autoSpaceDE w:val="0"/>
        <w:autoSpaceDN w:val="0"/>
        <w:adjustRightInd w:val="0"/>
      </w:pPr>
      <w:r w:rsidRPr="00B213C9">
        <w:t>- Zakon o cestama (NN 84/11</w:t>
      </w:r>
      <w:r w:rsidR="00F11303">
        <w:t>,</w:t>
      </w:r>
      <w:r w:rsidR="00F11303" w:rsidRPr="00F11303">
        <w:t xml:space="preserve"> </w:t>
      </w:r>
      <w:r w:rsidR="00F11303">
        <w:t>22/13, 54/13, 148/13 i 92/14</w:t>
      </w:r>
      <w:r w:rsidRPr="00B213C9">
        <w:t>),</w:t>
      </w:r>
    </w:p>
    <w:p w14:paraId="199E62A9" w14:textId="77777777" w:rsidR="0086673C" w:rsidRDefault="0061332A" w:rsidP="0086673C">
      <w:pPr>
        <w:autoSpaceDE w:val="0"/>
        <w:autoSpaceDN w:val="0"/>
        <w:adjustRightInd w:val="0"/>
      </w:pPr>
      <w:r>
        <w:t xml:space="preserve">- </w:t>
      </w:r>
      <w:r w:rsidR="0086673C">
        <w:t>Zakon</w:t>
      </w:r>
      <w:r w:rsidR="00ED7254">
        <w:t xml:space="preserve"> o komunalnom gospodarstvu (NN </w:t>
      </w:r>
      <w:r w:rsidR="0086673C">
        <w:t>6</w:t>
      </w:r>
      <w:r w:rsidR="00ED7254">
        <w:t>8/18</w:t>
      </w:r>
      <w:r w:rsidR="0086673C">
        <w:t>),</w:t>
      </w:r>
    </w:p>
    <w:p w14:paraId="6C3BBE04" w14:textId="77777777" w:rsidR="00D21BE7" w:rsidRDefault="00D21BE7" w:rsidP="00D21BE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4AF58A60" w14:textId="1C8B630D" w:rsidR="007A7DFF" w:rsidRDefault="00476369" w:rsidP="00476369">
      <w:r w:rsidRPr="00B213C9">
        <w:t>Aktivnosti: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4"/>
        <w:gridCol w:w="1275"/>
        <w:gridCol w:w="1134"/>
        <w:gridCol w:w="1134"/>
      </w:tblGrid>
      <w:tr w:rsidR="00B10325" w:rsidRPr="009143F9" w14:paraId="7E78D641" w14:textId="77777777" w:rsidTr="00B10325">
        <w:trPr>
          <w:cantSplit/>
          <w:trHeight w:val="4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8A5A" w14:textId="77777777" w:rsidR="00B10325" w:rsidRPr="00B10325" w:rsidRDefault="00B10325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68CC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323" w14:textId="77777777" w:rsidR="00B10325" w:rsidRPr="00B10325" w:rsidRDefault="00B10325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388" w14:textId="77777777" w:rsidR="00B10325" w:rsidRPr="00B10325" w:rsidRDefault="00B10325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Projekcija 2022.g.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CA1" w14:textId="77777777" w:rsidR="00B10325" w:rsidRPr="00B10325" w:rsidRDefault="00B10325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Projekcija 2023.g.</w:t>
            </w:r>
          </w:p>
        </w:tc>
      </w:tr>
      <w:tr w:rsidR="00E5604B" w:rsidRPr="00B10325" w14:paraId="3C298901" w14:textId="219ECA58" w:rsidTr="00E5604B">
        <w:trPr>
          <w:cantSplit/>
          <w:trHeight w:val="4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6B5" w14:textId="41650169" w:rsidR="00E5604B" w:rsidRPr="00B10325" w:rsidRDefault="00E5604B" w:rsidP="00B1032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1. IZGRADNJA I REKONSTRUKCIJA PROMETNICA, PROMETNIH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0325">
              <w:rPr>
                <w:b/>
                <w:bCs/>
                <w:sz w:val="20"/>
                <w:szCs w:val="20"/>
              </w:rPr>
              <w:t>POVRŠINA I NOGOSTUPA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2260" w14:textId="676B5622" w:rsidR="00E5604B" w:rsidRPr="00B10325" w:rsidRDefault="00E5604B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1.705.000,00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E16DE" w14:textId="62965B91" w:rsidR="00E5604B" w:rsidRPr="00B10325" w:rsidRDefault="009154BB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40D3E">
              <w:rPr>
                <w:b/>
                <w:bCs/>
                <w:sz w:val="20"/>
                <w:szCs w:val="20"/>
              </w:rPr>
              <w:t>.250.000,00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4717" w14:textId="6939F508" w:rsidR="00E5604B" w:rsidRPr="00B10325" w:rsidRDefault="009154BB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40D3E">
              <w:rPr>
                <w:b/>
                <w:bCs/>
                <w:sz w:val="20"/>
                <w:szCs w:val="20"/>
              </w:rPr>
              <w:t>.</w:t>
            </w:r>
            <w:r w:rsidR="005D4AB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40D3E">
              <w:rPr>
                <w:b/>
                <w:bCs/>
                <w:sz w:val="20"/>
                <w:szCs w:val="20"/>
              </w:rPr>
              <w:t>0.000,00</w:t>
            </w:r>
          </w:p>
        </w:tc>
      </w:tr>
      <w:tr w:rsidR="00E5604B" w:rsidRPr="00B10325" w14:paraId="175206A7" w14:textId="2245353E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4B90" w14:textId="77777777" w:rsidR="00E5604B" w:rsidRPr="00B10325" w:rsidRDefault="00E5604B" w:rsidP="0077542D">
            <w:pPr>
              <w:adjustRightInd w:val="0"/>
              <w:ind w:right="108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1.1. Uređenje lokalnih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D01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B10325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C144D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56F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E5604B" w:rsidRPr="00B10325" w14:paraId="0980D816" w14:textId="44CD8B4A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5D9C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lastRenderedPageBreak/>
              <w:t>1.1.1. Kapitalna donacija ŽUC-u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2096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200.000,00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E098B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560E3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2F2CD0FB" w14:textId="7842B77B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33D6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1.2. Sanacija klizišta uz nerazvrstane ceste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CD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B10325">
              <w:rPr>
                <w:b/>
                <w:sz w:val="20"/>
                <w:szCs w:val="20"/>
              </w:rPr>
              <w:t>600.000,00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FCC45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5F3C7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E5604B" w:rsidRPr="00B10325" w14:paraId="120ABC1A" w14:textId="57E5EA24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A51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1.2.1. 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CB5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20.000,00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F4A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4408B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45882FD3" w14:textId="7D3CE9B0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1D62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1.2.2. Gradnja (Knapić/</w:t>
            </w:r>
            <w:proofErr w:type="spellStart"/>
            <w:r w:rsidRPr="00B10325">
              <w:rPr>
                <w:bCs/>
                <w:sz w:val="20"/>
                <w:szCs w:val="20"/>
              </w:rPr>
              <w:t>Skradnjak</w:t>
            </w:r>
            <w:proofErr w:type="spellEnd"/>
            <w:r w:rsidRPr="00B103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2206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550.000,00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6538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F2E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6ADE6028" w14:textId="71BD872C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09FC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1.2.3. Nadzor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D0B3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30.000,00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AC10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7A6B6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4BCF7AFA" w14:textId="4DC3542E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CF7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1.3. Proširenje ul. A. Cesarca u Ivancu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1F2B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B10325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47D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14E2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E5604B" w:rsidRPr="00B10325" w14:paraId="65813AF7" w14:textId="50A078D9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9F3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1.3.1. 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BF43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50.000,00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7DCC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03A2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16D9CC1C" w14:textId="071D3FC9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F9D0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1.3.2. Otkup zemljišta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7E7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E76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4C502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263F074F" w14:textId="05A6A00B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028F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1.4. Uređenje ul. L. Šabana – parkiralište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1BB7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ED3B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66FF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672B62A4" w14:textId="6311D90D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AB3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1.4.1. Gradnja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2048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452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B9C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415A80CD" w14:textId="02A35937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605F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 xml:space="preserve">1.5. Uređenje ul. A. </w:t>
            </w:r>
            <w:proofErr w:type="spellStart"/>
            <w:r w:rsidRPr="00B10325">
              <w:rPr>
                <w:bCs/>
                <w:sz w:val="20"/>
                <w:szCs w:val="20"/>
              </w:rPr>
              <w:t>Georgijevića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EA82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B3B2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2519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42B1D31C" w14:textId="212214E9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DB53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1.5.1 Rekonstrukcija (proširenje prometnice)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B7D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7E5E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8F873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175ADB82" w14:textId="28B02A65" w:rsidTr="009D6AAA">
        <w:trPr>
          <w:cantSplit/>
          <w:trHeight w:val="286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EF1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 xml:space="preserve">1.6. Produžetak ulice M. </w:t>
            </w:r>
            <w:proofErr w:type="spellStart"/>
            <w:r w:rsidRPr="00B10325">
              <w:rPr>
                <w:bCs/>
                <w:sz w:val="20"/>
                <w:szCs w:val="20"/>
              </w:rPr>
              <w:t>Hrga</w:t>
            </w:r>
            <w:proofErr w:type="spellEnd"/>
            <w:r w:rsidRPr="00B10325">
              <w:rPr>
                <w:bCs/>
                <w:sz w:val="20"/>
                <w:szCs w:val="20"/>
              </w:rPr>
              <w:t xml:space="preserve"> u Ivancu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EF8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CEF89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3DA3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67C10E91" w14:textId="72E43AA1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3C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1.6.1.Otkup zemljišta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C986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120.000,00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101A6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16F8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7ACB153A" w14:textId="703FF1E5" w:rsidTr="009D6AAA">
        <w:trPr>
          <w:cantSplit/>
          <w:trHeight w:val="237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43D5" w14:textId="4F82364D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1.7. Nova prometnica u zoni u Ivanečkom Naselju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E8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A02D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DB2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1A2C1FCB" w14:textId="26F7FFED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87A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1.7.1.Projektna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A2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60.000,00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56A9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F1E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041FCFEA" w14:textId="184902DB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1FD2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1.8. Prometnice u Industrijskoj zoni Ivanec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8E9B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DC1E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F554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3357D3E6" w14:textId="3577C788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B7A" w14:textId="31D34C12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1.8.1.Projektna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8E6E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80.000,00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5092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8977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40AEED5A" w14:textId="475C8AFF" w:rsidTr="009D6AAA">
        <w:trPr>
          <w:cantSplit/>
          <w:trHeight w:val="27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16B6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1.9. Strategija modernizacije nerazvrstanih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DEB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0077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D40A3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58CDAED7" w14:textId="62B58B8C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DFF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1.9.1. 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DC0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40.000,00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127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6DF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E5604B" w:rsidRPr="00B10325" w14:paraId="0F8C7F92" w14:textId="3D03BE4E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AFF6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1.10. Uređenje prijelaza na potoku Željeznica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3AC5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31530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89B0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595CBD58" w14:textId="0650AD45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8CDD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1.10.1. 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E8F5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45.000,00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7E0D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F35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36CB7EB2" w14:textId="786BA1E1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897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1.10.2. Gradnja – kapitalna donacija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3D67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3C8D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1AF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1CF0CBD6" w14:textId="07CC601A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A68C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1.11. Rekonstrukcija raskrižja DC-35 – ul. A. Mihanovića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088C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7CD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F8309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0F945260" w14:textId="0AA2D5F3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6A55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1.11.1. Projektna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C0F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B10325">
              <w:rPr>
                <w:sz w:val="20"/>
                <w:szCs w:val="20"/>
              </w:rPr>
              <w:t>40.000,00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D661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916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E5604B" w:rsidRPr="00B10325" w14:paraId="42D0F6C4" w14:textId="45354395" w:rsidTr="009D6AAA">
        <w:trPr>
          <w:cantSplit/>
          <w:trHeight w:val="27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9295" w14:textId="77777777" w:rsidR="00E5604B" w:rsidRPr="00B10325" w:rsidRDefault="00E5604B" w:rsidP="0077542D">
            <w:pPr>
              <w:adjustRightInd w:val="0"/>
              <w:ind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1.12. Evidentiranje nerazvrstanih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37F8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B10325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D8EC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8E30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04B" w:rsidRPr="00B10325" w14:paraId="2E6AE59A" w14:textId="57517FDB" w:rsidTr="009D6AAA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373" w14:textId="77777777" w:rsidR="00E5604B" w:rsidRPr="00B10325" w:rsidRDefault="00E5604B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1.12.1. Geodetski elaborat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82A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B10325">
              <w:rPr>
                <w:bCs/>
                <w:sz w:val="20"/>
                <w:szCs w:val="20"/>
              </w:rPr>
              <w:t>70.000,00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E1CE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2EC24" w14:textId="77777777" w:rsidR="00E5604B" w:rsidRPr="00B10325" w:rsidRDefault="00E5604B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FB02B91" w14:textId="248444C0" w:rsidR="00B10325" w:rsidRDefault="00B10325" w:rsidP="00476369"/>
    <w:p w14:paraId="101293B5" w14:textId="6DFA146E" w:rsidR="00FA3333" w:rsidRDefault="00476369" w:rsidP="00334D89">
      <w:pPr>
        <w:jc w:val="both"/>
      </w:pPr>
      <w:r>
        <w:t xml:space="preserve">Financijski plan </w:t>
      </w:r>
      <w:r w:rsidR="00D201F6">
        <w:t>iznosi</w:t>
      </w:r>
      <w:r>
        <w:t xml:space="preserve"> </w:t>
      </w:r>
      <w:r w:rsidR="00A40D3E">
        <w:t>1</w:t>
      </w:r>
      <w:r w:rsidR="009A4DCF">
        <w:t>.</w:t>
      </w:r>
      <w:r w:rsidR="00A40D3E">
        <w:t>705</w:t>
      </w:r>
      <w:r w:rsidR="00FA3333">
        <w:t>.</w:t>
      </w:r>
      <w:r w:rsidR="00D201F6">
        <w:t>0</w:t>
      </w:r>
      <w:r>
        <w:t>00,00 kn,</w:t>
      </w:r>
      <w:r w:rsidR="00D201F6">
        <w:t xml:space="preserve"> a obuhvaćeni su </w:t>
      </w:r>
      <w:r w:rsidR="00FA3333">
        <w:t xml:space="preserve">projekti </w:t>
      </w:r>
      <w:r w:rsidR="00D201F6">
        <w:t xml:space="preserve">koji su </w:t>
      </w:r>
      <w:r w:rsidR="00FA3333">
        <w:t xml:space="preserve">započeti </w:t>
      </w:r>
      <w:r w:rsidR="00D201F6">
        <w:t>20</w:t>
      </w:r>
      <w:r w:rsidR="00A40D3E">
        <w:t>20</w:t>
      </w:r>
      <w:r w:rsidR="00D201F6">
        <w:t xml:space="preserve">.godine, ali </w:t>
      </w:r>
      <w:r w:rsidR="007E1580">
        <w:t>nisu realizirani</w:t>
      </w:r>
      <w:r w:rsidR="00D201F6">
        <w:t xml:space="preserve"> tijekom godine, te </w:t>
      </w:r>
      <w:r w:rsidR="00FA3333">
        <w:t>oni koji su nastavak višegodišnjih projekata</w:t>
      </w:r>
      <w:r w:rsidR="009A4DCF">
        <w:t xml:space="preserve"> kao i </w:t>
      </w:r>
      <w:proofErr w:type="spellStart"/>
      <w:r w:rsidR="009A4DCF">
        <w:t>novozapočeti</w:t>
      </w:r>
      <w:proofErr w:type="spellEnd"/>
      <w:r w:rsidR="009A4DCF">
        <w:t xml:space="preserve"> projekti</w:t>
      </w:r>
      <w:r w:rsidR="00FA3333">
        <w:t>.</w:t>
      </w:r>
    </w:p>
    <w:p w14:paraId="33B930A4" w14:textId="065C380B" w:rsidR="00C61512" w:rsidRDefault="00EC7149" w:rsidP="00476369">
      <w:pPr>
        <w:jc w:val="both"/>
      </w:pPr>
      <w:r w:rsidRPr="00C61512">
        <w:t xml:space="preserve">Programom su planirana sredstva za </w:t>
      </w:r>
      <w:r w:rsidR="00C61512">
        <w:t xml:space="preserve">sufinanciranje </w:t>
      </w:r>
      <w:r w:rsidR="00A40D3E">
        <w:t xml:space="preserve">uređenja lokalnih cesta u ingerenciji  ŽUC-a, </w:t>
      </w:r>
      <w:r w:rsidR="00C61512">
        <w:t xml:space="preserve"> </w:t>
      </w:r>
      <w:r w:rsidR="009A4DCF">
        <w:t xml:space="preserve">nastavak </w:t>
      </w:r>
      <w:r w:rsidR="00C61512">
        <w:t>sanacij</w:t>
      </w:r>
      <w:r w:rsidR="009A4DCF">
        <w:t>e</w:t>
      </w:r>
      <w:r w:rsidR="00C61512">
        <w:t xml:space="preserve"> klizišta na nerazvrstanim cestama</w:t>
      </w:r>
      <w:r w:rsidR="009A4DCF">
        <w:t xml:space="preserve"> (u</w:t>
      </w:r>
      <w:r w:rsidR="00A40D3E">
        <w:t xml:space="preserve"> Knapiću</w:t>
      </w:r>
      <w:r w:rsidR="009A4DCF">
        <w:t>)</w:t>
      </w:r>
      <w:r w:rsidR="00C61512">
        <w:t>.</w:t>
      </w:r>
    </w:p>
    <w:p w14:paraId="628BCBA8" w14:textId="0A28E874" w:rsidR="00334D89" w:rsidRDefault="00C61512" w:rsidP="00A40D3E">
      <w:pPr>
        <w:jc w:val="both"/>
      </w:pPr>
      <w:r>
        <w:t xml:space="preserve">Programom su planirana sredstva za </w:t>
      </w:r>
      <w:r w:rsidR="00A40D3E">
        <w:t xml:space="preserve">uređenje parkirališta u ul. L. Šabana u Ivancu, uređenja ul. A. </w:t>
      </w:r>
      <w:proofErr w:type="spellStart"/>
      <w:r w:rsidR="00A40D3E">
        <w:t>Georgijevića</w:t>
      </w:r>
      <w:proofErr w:type="spellEnd"/>
      <w:r w:rsidR="00A40D3E">
        <w:t xml:space="preserve">, izrada projektne dokumentacije za prometnice u Industrijskoj zoni Ivanec, nove prometnice u zoni u Ivanečkom Naselju, rekonstrukcije raskrižja A. Mihanovića i državne ceste, uređenje prijelaza na potoku Željeznica, </w:t>
      </w:r>
      <w:r w:rsidR="008B226B">
        <w:t xml:space="preserve"> te troškovi evidentiranja nerazvrstanih cesta.</w:t>
      </w:r>
    </w:p>
    <w:p w14:paraId="2810E232" w14:textId="32346C76" w:rsidR="00D05119" w:rsidRPr="006F1C8D" w:rsidRDefault="00D05119" w:rsidP="00D05119">
      <w:pPr>
        <w:jc w:val="both"/>
      </w:pPr>
      <w:r w:rsidRPr="006F1C8D">
        <w:t xml:space="preserve">Projekcija za </w:t>
      </w:r>
      <w:r w:rsidR="00FC7D18">
        <w:t>202</w:t>
      </w:r>
      <w:r w:rsidR="00A40D3E">
        <w:t>2</w:t>
      </w:r>
      <w:r w:rsidRPr="006F1C8D">
        <w:t>. godinu temelji se na procjeni troškova slijedećih projekata:</w:t>
      </w:r>
    </w:p>
    <w:p w14:paraId="2AC25CCD" w14:textId="4F5A9547" w:rsidR="00D05119" w:rsidRPr="006F1C8D" w:rsidRDefault="00D05119" w:rsidP="00D05119">
      <w:pPr>
        <w:pStyle w:val="Odlomakpopisa"/>
        <w:numPr>
          <w:ilvl w:val="0"/>
          <w:numId w:val="10"/>
        </w:numPr>
        <w:jc w:val="both"/>
      </w:pPr>
      <w:r w:rsidRPr="006F1C8D">
        <w:t>program podrške Županijskoj upravi za ceste Varaždinske županije na modernizaciji županijskih prome</w:t>
      </w:r>
      <w:r w:rsidR="006F1C8D">
        <w:t>tnica</w:t>
      </w:r>
    </w:p>
    <w:p w14:paraId="2292BD9A" w14:textId="77777777" w:rsidR="00D05119" w:rsidRPr="006F1C8D" w:rsidRDefault="00D05119" w:rsidP="00D05119">
      <w:pPr>
        <w:pStyle w:val="Odlomakpopisa"/>
        <w:numPr>
          <w:ilvl w:val="0"/>
          <w:numId w:val="10"/>
        </w:numPr>
        <w:jc w:val="both"/>
      </w:pPr>
      <w:r w:rsidRPr="006F1C8D">
        <w:t>nastavka gradnje započetih građevina, odnosno nastavka projekta, kao i gradnje novih građevina za koje je u prethodnom razdoblju izrađena projektna dokumentacija</w:t>
      </w:r>
      <w:r w:rsidR="00B135CA">
        <w:t>, usklađenih sa dinamikom radova na aglomeraciji Ivanec</w:t>
      </w:r>
    </w:p>
    <w:p w14:paraId="72809462" w14:textId="77777777" w:rsidR="00D05119" w:rsidRPr="006F1C8D" w:rsidRDefault="00D05119" w:rsidP="00D05119">
      <w:pPr>
        <w:pStyle w:val="Odlomakpopisa"/>
        <w:numPr>
          <w:ilvl w:val="0"/>
          <w:numId w:val="10"/>
        </w:numPr>
        <w:jc w:val="both"/>
      </w:pPr>
      <w:r w:rsidRPr="006F1C8D">
        <w:t>izrada projektne dokumentacije za rekonstrukciju i modernizaciju prometnica, prema višegodišnjem programu rekonstrukcija i modernizacija nerazvrstanih cesta, usklađenim sa Strategijom modernizacije nerazvrstanih cesta,</w:t>
      </w:r>
    </w:p>
    <w:p w14:paraId="49C972D4" w14:textId="77777777" w:rsidR="00E2768A" w:rsidRPr="006F1C8D" w:rsidRDefault="00E2768A" w:rsidP="00D05119">
      <w:pPr>
        <w:jc w:val="both"/>
      </w:pPr>
    </w:p>
    <w:p w14:paraId="50471957" w14:textId="47222C9F" w:rsidR="00D05119" w:rsidRPr="006F1C8D" w:rsidRDefault="00D05119" w:rsidP="00D05119">
      <w:pPr>
        <w:jc w:val="both"/>
      </w:pPr>
      <w:r w:rsidRPr="006F1C8D">
        <w:t xml:space="preserve">Projekcija za </w:t>
      </w:r>
      <w:r w:rsidR="00FC7D18">
        <w:t>202</w:t>
      </w:r>
      <w:r w:rsidR="00A40D3E">
        <w:t>3</w:t>
      </w:r>
      <w:r w:rsidRPr="006F1C8D">
        <w:t>. godinu temelji se na procjeni troškova slijedećih projekata:</w:t>
      </w:r>
    </w:p>
    <w:p w14:paraId="52A3EEC7" w14:textId="4FB7BEA9" w:rsidR="00D05119" w:rsidRPr="006F1C8D" w:rsidRDefault="00D05119" w:rsidP="00D05119">
      <w:pPr>
        <w:pStyle w:val="Odlomakpopisa"/>
        <w:numPr>
          <w:ilvl w:val="0"/>
          <w:numId w:val="10"/>
        </w:numPr>
        <w:jc w:val="both"/>
      </w:pPr>
      <w:r w:rsidRPr="006F1C8D">
        <w:t xml:space="preserve">program podrške Županijskoj upravi za ceste Varaždinske županije na modernizaciji županijskih prometnica, sa izgradnjom nogostupa (nastavak radova iz </w:t>
      </w:r>
      <w:r w:rsidR="00FC7D18">
        <w:t>202</w:t>
      </w:r>
      <w:r w:rsidR="00A40D3E">
        <w:t>2</w:t>
      </w:r>
      <w:r w:rsidRPr="006F1C8D">
        <w:t>. godine</w:t>
      </w:r>
      <w:r w:rsidR="006F1C8D">
        <w:t xml:space="preserve">) te </w:t>
      </w:r>
      <w:r w:rsidR="00F5640A" w:rsidRPr="006F1C8D">
        <w:t>novi nogostupi na ostali</w:t>
      </w:r>
      <w:r w:rsidR="006F1C8D">
        <w:t>m županijskim cestama,</w:t>
      </w:r>
    </w:p>
    <w:p w14:paraId="760C2FC4" w14:textId="64B1173B" w:rsidR="00D05119" w:rsidRDefault="00D05119" w:rsidP="00D05119">
      <w:pPr>
        <w:pStyle w:val="Odlomakpopisa"/>
        <w:numPr>
          <w:ilvl w:val="0"/>
          <w:numId w:val="10"/>
        </w:numPr>
        <w:jc w:val="both"/>
      </w:pPr>
      <w:r w:rsidRPr="006F1C8D">
        <w:t>nastavka gradnje započetih građevina, odnosno nastavka projekta, kao i gradnje novih građevina za koje će se u prethodnom razdoblju izraditi odgovarajuća projektna dokumentacija,</w:t>
      </w:r>
    </w:p>
    <w:p w14:paraId="78D51051" w14:textId="669DDA0B" w:rsidR="004D07C6" w:rsidRPr="006F1C8D" w:rsidRDefault="004D07C6" w:rsidP="004D07C6">
      <w:pPr>
        <w:pStyle w:val="Odlomakpopisa"/>
        <w:numPr>
          <w:ilvl w:val="0"/>
          <w:numId w:val="10"/>
        </w:numPr>
      </w:pPr>
      <w:r w:rsidRPr="006F1C8D">
        <w:t>nastavku aktivnosti na</w:t>
      </w:r>
      <w:r>
        <w:t xml:space="preserve"> dovršetku</w:t>
      </w:r>
      <w:r w:rsidRPr="006F1C8D">
        <w:t xml:space="preserve"> komunalne i prometne infrastrukture u zoni „C-3“ u Ivancu,</w:t>
      </w:r>
    </w:p>
    <w:p w14:paraId="4C916C7C" w14:textId="77777777" w:rsidR="00B03738" w:rsidRPr="006F1C8D" w:rsidRDefault="00D05119" w:rsidP="00D05119">
      <w:pPr>
        <w:pStyle w:val="Odlomakpopisa"/>
        <w:numPr>
          <w:ilvl w:val="0"/>
          <w:numId w:val="10"/>
        </w:numPr>
        <w:jc w:val="both"/>
      </w:pPr>
      <w:r w:rsidRPr="006F1C8D">
        <w:lastRenderedPageBreak/>
        <w:t>izrada projektne dokumentacije za rekonstrukciju i modernizaciju prometnica, prema višegodišnjem programu rekonstrukcija</w:t>
      </w:r>
      <w:r w:rsidR="006F1C8D">
        <w:t>.</w:t>
      </w:r>
    </w:p>
    <w:p w14:paraId="01FBBBAD" w14:textId="77777777" w:rsidR="00D05119" w:rsidRDefault="00D05119" w:rsidP="009608C0">
      <w:pPr>
        <w:jc w:val="both"/>
      </w:pPr>
    </w:p>
    <w:p w14:paraId="315B7B2B" w14:textId="77777777" w:rsidR="0012074D" w:rsidRDefault="00FA7130" w:rsidP="00FA7130">
      <w:pPr>
        <w:rPr>
          <w:b/>
        </w:rPr>
      </w:pPr>
      <w:r w:rsidRPr="00A31E8A">
        <w:rPr>
          <w:b/>
        </w:rPr>
        <w:t>Kapitalni projekt</w:t>
      </w:r>
      <w:r>
        <w:rPr>
          <w:b/>
        </w:rPr>
        <w:t>: M</w:t>
      </w:r>
      <w:r w:rsidRPr="00FA7130">
        <w:rPr>
          <w:b/>
        </w:rPr>
        <w:t>odernizacija-asfaltiranje nerazvrstanih cesta</w:t>
      </w:r>
    </w:p>
    <w:p w14:paraId="60DC8CFD" w14:textId="0819AFDD" w:rsidR="00C22989" w:rsidRPr="00C22989" w:rsidRDefault="00C22989" w:rsidP="00C22989">
      <w:pPr>
        <w:tabs>
          <w:tab w:val="left" w:pos="1605"/>
        </w:tabs>
      </w:pPr>
      <w:r>
        <w:tab/>
      </w:r>
    </w:p>
    <w:p w14:paraId="5D782E74" w14:textId="77777777" w:rsidR="003F0EA3" w:rsidRDefault="003F0EA3" w:rsidP="003F0EA3">
      <w:pPr>
        <w:jc w:val="both"/>
      </w:pPr>
      <w:r w:rsidRPr="00B213C9">
        <w:t>Cilj projekta</w:t>
      </w:r>
      <w:r>
        <w:t xml:space="preserve"> je modernizacijom nerazvrstanih cesta podići prometne standarde i sigurnost u svim naseljima, proširiti prometnu mrežu, te dugoročno smanjiti troškove održavanja.</w:t>
      </w:r>
    </w:p>
    <w:p w14:paraId="669B11F9" w14:textId="77777777" w:rsidR="003F0EA3" w:rsidRPr="00B213C9" w:rsidRDefault="003F0EA3" w:rsidP="003F0EA3">
      <w:r w:rsidRPr="00B213C9">
        <w:t>Zakonska osnova</w:t>
      </w:r>
    </w:p>
    <w:p w14:paraId="660D64A2" w14:textId="77777777" w:rsidR="00C41276" w:rsidRDefault="00C41276" w:rsidP="00C41276">
      <w:pPr>
        <w:autoSpaceDE w:val="0"/>
        <w:autoSpaceDN w:val="0"/>
        <w:adjustRightInd w:val="0"/>
      </w:pPr>
      <w:r w:rsidRPr="00B025C0">
        <w:t>- Zakon o prostornom ure</w:t>
      </w:r>
      <w:r>
        <w:t>đ</w:t>
      </w:r>
      <w:r w:rsidRPr="00B025C0">
        <w:t xml:space="preserve">enju </w:t>
      </w:r>
      <w:r>
        <w:t>(NN 153/13),</w:t>
      </w:r>
    </w:p>
    <w:p w14:paraId="2ADA7943" w14:textId="77777777" w:rsidR="00C41276" w:rsidRDefault="00C41276" w:rsidP="00C41276">
      <w:pPr>
        <w:autoSpaceDE w:val="0"/>
        <w:autoSpaceDN w:val="0"/>
        <w:adjustRightInd w:val="0"/>
      </w:pPr>
      <w:r w:rsidRPr="00B025C0">
        <w:t xml:space="preserve">- Zakon o </w:t>
      </w:r>
      <w:r>
        <w:t>gradnji</w:t>
      </w:r>
      <w:r w:rsidRPr="00B025C0">
        <w:t xml:space="preserve"> </w:t>
      </w:r>
      <w:r>
        <w:t>(NN 153/13),</w:t>
      </w:r>
    </w:p>
    <w:p w14:paraId="1A6AD416" w14:textId="77777777" w:rsidR="003F0EA3" w:rsidRPr="00B213C9" w:rsidRDefault="003F0EA3" w:rsidP="003F0EA3">
      <w:pPr>
        <w:autoSpaceDE w:val="0"/>
        <w:autoSpaceDN w:val="0"/>
        <w:adjustRightInd w:val="0"/>
      </w:pPr>
      <w:r w:rsidRPr="00B213C9">
        <w:t>- Zakon o cestama (N.N. 84/11</w:t>
      </w:r>
      <w:r w:rsidR="00F11303">
        <w:t>,</w:t>
      </w:r>
      <w:r w:rsidR="00F11303" w:rsidRPr="00F11303">
        <w:t xml:space="preserve"> </w:t>
      </w:r>
      <w:r w:rsidR="00F11303">
        <w:t>22/13, 54/13, 148/13 i 92/14</w:t>
      </w:r>
      <w:r w:rsidRPr="00B213C9">
        <w:t>),</w:t>
      </w:r>
    </w:p>
    <w:p w14:paraId="0F57142E" w14:textId="77777777" w:rsidR="00F06BC7" w:rsidRDefault="00F06BC7" w:rsidP="00F06BC7">
      <w:pPr>
        <w:autoSpaceDE w:val="0"/>
        <w:autoSpaceDN w:val="0"/>
        <w:adjustRightInd w:val="0"/>
      </w:pPr>
      <w:r>
        <w:t xml:space="preserve">- Zakon o komunalnom gospodarstvu (NN </w:t>
      </w:r>
      <w:r w:rsidR="00D51B2E">
        <w:t>68/18</w:t>
      </w:r>
      <w:r>
        <w:t>),</w:t>
      </w:r>
    </w:p>
    <w:p w14:paraId="1AADE76E" w14:textId="77777777" w:rsidR="003F0EA3" w:rsidRPr="00B213C9" w:rsidRDefault="003F0EA3" w:rsidP="003F0EA3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1C941BB7" w14:textId="77777777" w:rsidR="00C253C4" w:rsidRDefault="00C253C4" w:rsidP="003F0EA3"/>
    <w:p w14:paraId="78F7EA28" w14:textId="5667A61B" w:rsidR="003F0EA3" w:rsidRDefault="003F0EA3" w:rsidP="003F0EA3">
      <w:r w:rsidRPr="00B213C9">
        <w:t>Aktivnosti: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1134"/>
        <w:gridCol w:w="1134"/>
      </w:tblGrid>
      <w:tr w:rsidR="00522134" w:rsidRPr="00522134" w14:paraId="3B67C7D6" w14:textId="77777777" w:rsidTr="008E51CF">
        <w:trPr>
          <w:cantSplit/>
          <w:trHeight w:val="4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753C" w14:textId="77777777" w:rsidR="00294ED7" w:rsidRPr="00522134" w:rsidRDefault="00294ED7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 w:hanging="239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F80" w14:textId="77777777" w:rsidR="00294ED7" w:rsidRPr="00522134" w:rsidRDefault="00294ED7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 w:hanging="239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DE3" w14:textId="77777777" w:rsidR="00294ED7" w:rsidRPr="00522134" w:rsidRDefault="00294ED7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 w:hanging="239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Projekcija 2022.g.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CE3" w14:textId="77777777" w:rsidR="00294ED7" w:rsidRPr="00522134" w:rsidRDefault="00294ED7" w:rsidP="00822C0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 w:hanging="239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Projekcija 2023.g.</w:t>
            </w:r>
          </w:p>
        </w:tc>
      </w:tr>
      <w:tr w:rsidR="00294ED7" w:rsidRPr="00522134" w14:paraId="13E09CE5" w14:textId="2F2BBB4D" w:rsidTr="008E51CF">
        <w:trPr>
          <w:cantSplit/>
          <w:trHeight w:val="4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53A" w14:textId="7D0B2653" w:rsidR="00294ED7" w:rsidRPr="00522134" w:rsidRDefault="00294ED7" w:rsidP="00294ED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2. MODERNIZACIJA NERAZVRSTANIH CESTA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0DFF" w14:textId="5A06FD7B" w:rsidR="00294ED7" w:rsidRPr="00522134" w:rsidRDefault="00294ED7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1.740.000,00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591DD" w14:textId="0D575D2B" w:rsidR="00294ED7" w:rsidRPr="00522134" w:rsidRDefault="00294ED7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5.200.000,00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D4BEB" w14:textId="79ACE124" w:rsidR="00294ED7" w:rsidRPr="00522134" w:rsidRDefault="00294ED7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4.500.000,00</w:t>
            </w:r>
          </w:p>
        </w:tc>
      </w:tr>
      <w:tr w:rsidR="00294ED7" w:rsidRPr="00522134" w14:paraId="405450BF" w14:textId="68165321" w:rsidTr="008E51CF">
        <w:trPr>
          <w:cantSplit/>
          <w:trHeight w:val="321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B2B8" w14:textId="77777777" w:rsidR="00294ED7" w:rsidRPr="00522134" w:rsidRDefault="00294ED7" w:rsidP="0077542D">
            <w:pPr>
              <w:ind w:left="381" w:hanging="142"/>
              <w:rPr>
                <w:b/>
                <w:sz w:val="20"/>
                <w:szCs w:val="20"/>
              </w:rPr>
            </w:pPr>
            <w:r w:rsidRPr="00522134">
              <w:rPr>
                <w:b/>
                <w:sz w:val="20"/>
                <w:szCs w:val="20"/>
              </w:rPr>
              <w:t>2.1. Modernizacija nerazvrstanih cesta iz Programa modernizacije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256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522134">
              <w:rPr>
                <w:b/>
                <w:sz w:val="20"/>
                <w:szCs w:val="20"/>
              </w:rPr>
              <w:t>1.470.000,00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501C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0143F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294ED7" w:rsidRPr="00522134" w14:paraId="49EE102F" w14:textId="3B958702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3943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2.1.1. MO </w:t>
            </w:r>
            <w:proofErr w:type="spellStart"/>
            <w:r w:rsidRPr="00522134">
              <w:rPr>
                <w:sz w:val="20"/>
                <w:szCs w:val="20"/>
              </w:rPr>
              <w:t>Gačice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7152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90.000,00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21262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348F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17EE825E" w14:textId="4912542D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7DA1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>2.1.2. MO Lukavec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14EF2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120.000,00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5AB03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107F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17B78339" w14:textId="6B69C348" w:rsidTr="008E51CF">
        <w:trPr>
          <w:cantSplit/>
          <w:trHeight w:val="227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9516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2.1.3. MO </w:t>
            </w:r>
            <w:proofErr w:type="spellStart"/>
            <w:r w:rsidRPr="00522134">
              <w:rPr>
                <w:sz w:val="20"/>
                <w:szCs w:val="20"/>
              </w:rPr>
              <w:t>Stažnjevec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5DEA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295.000,00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8DFF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5979E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58887374" w14:textId="614668FB" w:rsidTr="008E51CF">
        <w:trPr>
          <w:cantSplit/>
          <w:trHeight w:val="149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436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2.1.4. MO </w:t>
            </w:r>
            <w:proofErr w:type="spellStart"/>
            <w:r w:rsidRPr="00522134">
              <w:rPr>
                <w:sz w:val="20"/>
                <w:szCs w:val="20"/>
              </w:rPr>
              <w:t>Punikve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F33E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160.000,00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A9E04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64431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68E13C79" w14:textId="6DE2F1ED" w:rsidTr="008E51CF">
        <w:trPr>
          <w:cantSplit/>
          <w:trHeight w:val="246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2E17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2.1.5. MO </w:t>
            </w:r>
            <w:proofErr w:type="spellStart"/>
            <w:r w:rsidRPr="00522134">
              <w:rPr>
                <w:sz w:val="20"/>
                <w:szCs w:val="20"/>
              </w:rPr>
              <w:t>Iv</w:t>
            </w:r>
            <w:proofErr w:type="spellEnd"/>
            <w:r w:rsidRPr="00522134">
              <w:rPr>
                <w:sz w:val="20"/>
                <w:szCs w:val="20"/>
              </w:rPr>
              <w:t>. Željeznica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D250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360.000,00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DEB1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8010B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0C8EA32E" w14:textId="4EFCC4DC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138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2.1.6. MO </w:t>
            </w:r>
            <w:proofErr w:type="spellStart"/>
            <w:r w:rsidRPr="00522134">
              <w:rPr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EC00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90.000,00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C3819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8F8CC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293BE3E8" w14:textId="230D91E3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8E39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2.1.7. MO </w:t>
            </w:r>
            <w:proofErr w:type="spellStart"/>
            <w:r w:rsidRPr="00522134">
              <w:rPr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E4E4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125.000,00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E19CE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7AE5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337E1087" w14:textId="26517D55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F5BD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>2.1.8. MO Radovan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0D6D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5279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1ED10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6EAE77C6" w14:textId="3F3047B8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B466" w14:textId="77777777" w:rsidR="00294ED7" w:rsidRPr="00522134" w:rsidRDefault="00294ED7" w:rsidP="0077542D">
            <w:pPr>
              <w:adjustRightInd w:val="0"/>
              <w:ind w:left="664" w:right="108"/>
              <w:rPr>
                <w:b/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 xml:space="preserve">2.1.9. MO </w:t>
            </w:r>
            <w:proofErr w:type="spellStart"/>
            <w:r w:rsidRPr="00522134">
              <w:rPr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956E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70.000,00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79FE4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2D91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6B2120BF" w14:textId="31ACF7B5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8D7C" w14:textId="77777777" w:rsidR="00294ED7" w:rsidRPr="00522134" w:rsidRDefault="00294ED7" w:rsidP="0077542D">
            <w:pPr>
              <w:adjustRightInd w:val="0"/>
              <w:ind w:left="664" w:right="108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2.1.10.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A81B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522134">
              <w:rPr>
                <w:sz w:val="20"/>
                <w:szCs w:val="20"/>
              </w:rPr>
              <w:t>50.000,000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F9B84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7A109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294ED7" w:rsidRPr="00522134" w14:paraId="07A778D8" w14:textId="60D9BEA5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AB97" w14:textId="77777777" w:rsidR="00294ED7" w:rsidRPr="00522134" w:rsidRDefault="00294ED7" w:rsidP="0077542D">
            <w:pPr>
              <w:ind w:firstLine="381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2.1.11. Troškovnici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F8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10.000,00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CC79A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9AC2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45012BED" w14:textId="1A04BDA6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146" w14:textId="77777777" w:rsidR="00294ED7" w:rsidRPr="00522134" w:rsidRDefault="00294ED7" w:rsidP="0077542D">
            <w:pPr>
              <w:ind w:left="381" w:hanging="142"/>
              <w:rPr>
                <w:b/>
                <w:sz w:val="20"/>
                <w:szCs w:val="20"/>
              </w:rPr>
            </w:pPr>
            <w:r w:rsidRPr="00522134">
              <w:rPr>
                <w:b/>
                <w:sz w:val="20"/>
                <w:szCs w:val="20"/>
              </w:rPr>
              <w:t>2.2. Asfaltiranje strmih dionica nerazvrstanih cesta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6E02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A0B1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537C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4ED7" w:rsidRPr="00522134" w14:paraId="2A276EB9" w14:textId="7F4B8F24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D34F" w14:textId="77777777" w:rsidR="00294ED7" w:rsidRPr="00522134" w:rsidRDefault="00294ED7" w:rsidP="0077542D">
            <w:pPr>
              <w:adjustRightInd w:val="0"/>
              <w:ind w:left="664" w:right="108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2.2.1. Gradnja (</w:t>
            </w:r>
            <w:r w:rsidRPr="00522134">
              <w:rPr>
                <w:bCs/>
                <w:i/>
                <w:iCs/>
                <w:sz w:val="20"/>
                <w:szCs w:val="20"/>
              </w:rPr>
              <w:t xml:space="preserve">Radovan, </w:t>
            </w:r>
            <w:proofErr w:type="spellStart"/>
            <w:r w:rsidRPr="00522134">
              <w:rPr>
                <w:bCs/>
                <w:i/>
                <w:iCs/>
                <w:sz w:val="20"/>
                <w:szCs w:val="20"/>
              </w:rPr>
              <w:t>Bedenec</w:t>
            </w:r>
            <w:proofErr w:type="spellEnd"/>
            <w:r w:rsidRPr="00522134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2134">
              <w:rPr>
                <w:bCs/>
                <w:i/>
                <w:iCs/>
                <w:sz w:val="20"/>
                <w:szCs w:val="20"/>
              </w:rPr>
              <w:t>Iv</w:t>
            </w:r>
            <w:proofErr w:type="spellEnd"/>
            <w:r w:rsidRPr="00522134">
              <w:rPr>
                <w:bCs/>
                <w:i/>
                <w:iCs/>
                <w:sz w:val="20"/>
                <w:szCs w:val="20"/>
              </w:rPr>
              <w:t xml:space="preserve">. Željeznica, </w:t>
            </w:r>
            <w:proofErr w:type="spellStart"/>
            <w:r w:rsidRPr="00522134">
              <w:rPr>
                <w:bCs/>
                <w:i/>
                <w:iCs/>
                <w:sz w:val="20"/>
                <w:szCs w:val="20"/>
              </w:rPr>
              <w:t>Salinovec</w:t>
            </w:r>
            <w:proofErr w:type="spellEnd"/>
            <w:r w:rsidRPr="0052213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C01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260.000,00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B7BA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F42C7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  <w:tr w:rsidR="00294ED7" w:rsidRPr="00522134" w14:paraId="43A5182C" w14:textId="147198F3" w:rsidTr="008E51CF">
        <w:trPr>
          <w:cantSplit/>
          <w:trHeight w:val="132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8212" w14:textId="77777777" w:rsidR="00294ED7" w:rsidRPr="00522134" w:rsidRDefault="00294ED7" w:rsidP="0077542D">
            <w:pPr>
              <w:adjustRightInd w:val="0"/>
              <w:ind w:left="664" w:right="108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2.2.2.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D89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  <w:r w:rsidRPr="00522134">
              <w:rPr>
                <w:bCs/>
                <w:sz w:val="20"/>
                <w:szCs w:val="20"/>
              </w:rPr>
              <w:t>10.000,00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4F899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4EC8" w14:textId="77777777" w:rsidR="00294ED7" w:rsidRPr="00522134" w:rsidRDefault="00294ED7" w:rsidP="0077542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254D772" w14:textId="77777777" w:rsidR="00201694" w:rsidRDefault="00201694" w:rsidP="003F0EA3"/>
    <w:p w14:paraId="3BDA3543" w14:textId="58E88277" w:rsidR="008C1FF7" w:rsidRDefault="003F0EA3" w:rsidP="00007CCB">
      <w:pPr>
        <w:jc w:val="both"/>
      </w:pPr>
      <w:r>
        <w:t xml:space="preserve">Financijski plan iznosi </w:t>
      </w:r>
      <w:r w:rsidR="00007CCB">
        <w:t>1.740</w:t>
      </w:r>
      <w:r w:rsidR="00792C59">
        <w:t>.</w:t>
      </w:r>
      <w:r>
        <w:t xml:space="preserve">000,00 kn, </w:t>
      </w:r>
      <w:r w:rsidRPr="005E68AC">
        <w:t xml:space="preserve">a obuhvaćena je modernizacija </w:t>
      </w:r>
      <w:r w:rsidR="00007CCB">
        <w:t>nerazvrstanih cesta na području Grada Ivanca,</w:t>
      </w:r>
      <w:r w:rsidRPr="005E68AC">
        <w:t xml:space="preserve"> </w:t>
      </w:r>
      <w:r w:rsidR="00AF76C0" w:rsidRPr="005E68AC">
        <w:t>u naselj</w:t>
      </w:r>
      <w:r w:rsidR="005E68AC">
        <w:t xml:space="preserve">ima </w:t>
      </w:r>
      <w:proofErr w:type="spellStart"/>
      <w:r w:rsidR="00007CCB">
        <w:t>Gačice</w:t>
      </w:r>
      <w:proofErr w:type="spellEnd"/>
      <w:r w:rsidR="00007CCB">
        <w:t xml:space="preserve">, Lukavec, </w:t>
      </w:r>
      <w:proofErr w:type="spellStart"/>
      <w:r w:rsidR="00007CCB">
        <w:t>Stažnjevec</w:t>
      </w:r>
      <w:proofErr w:type="spellEnd"/>
      <w:r w:rsidR="00007CCB">
        <w:t xml:space="preserve">, </w:t>
      </w:r>
      <w:proofErr w:type="spellStart"/>
      <w:r w:rsidR="00007CCB">
        <w:t>Punikve</w:t>
      </w:r>
      <w:proofErr w:type="spellEnd"/>
      <w:r w:rsidR="00007CCB">
        <w:t xml:space="preserve">, </w:t>
      </w:r>
      <w:proofErr w:type="spellStart"/>
      <w:r w:rsidR="00007CCB">
        <w:t>Iv</w:t>
      </w:r>
      <w:proofErr w:type="spellEnd"/>
      <w:r w:rsidR="00007CCB">
        <w:t xml:space="preserve">. Željeznica, </w:t>
      </w:r>
      <w:proofErr w:type="spellStart"/>
      <w:r w:rsidR="00007CCB">
        <w:t>Kaniža</w:t>
      </w:r>
      <w:proofErr w:type="spellEnd"/>
      <w:r w:rsidR="00007CCB">
        <w:t xml:space="preserve">, </w:t>
      </w:r>
      <w:proofErr w:type="spellStart"/>
      <w:r w:rsidR="00007CCB">
        <w:t>Osečka</w:t>
      </w:r>
      <w:proofErr w:type="spellEnd"/>
      <w:r w:rsidR="00007CCB">
        <w:t xml:space="preserve">, Radovan, </w:t>
      </w:r>
      <w:proofErr w:type="spellStart"/>
      <w:r w:rsidR="00007CCB">
        <w:t>Škriljevec</w:t>
      </w:r>
      <w:proofErr w:type="spellEnd"/>
      <w:r w:rsidR="00007CCB">
        <w:t xml:space="preserve">, </w:t>
      </w:r>
      <w:r w:rsidR="00A245DE" w:rsidRPr="005E68AC">
        <w:t>te na poslove nadzora nad gradnjom</w:t>
      </w:r>
      <w:r w:rsidR="008C1FF7" w:rsidRPr="005E68AC">
        <w:t xml:space="preserve"> istih</w:t>
      </w:r>
      <w:r w:rsidR="005E68AC">
        <w:t>,</w:t>
      </w:r>
      <w:r w:rsidR="00B21D79" w:rsidRPr="005E68AC">
        <w:t xml:space="preserve"> prema višegodišnjem Programu modernizacije nerazvrstanih cesta</w:t>
      </w:r>
      <w:r w:rsidR="008C1FF7" w:rsidRPr="005E68AC">
        <w:t>.</w:t>
      </w:r>
      <w:r w:rsidR="00007CCB">
        <w:t xml:space="preserve"> S obzirom da će 2021. godine započeti radovi na projektu odvodnje i pročišćavanje otpadnih voda aglomeracije Ivanec, odgođeni su zahvati na gradskim ulicama predviđeni </w:t>
      </w:r>
      <w:r w:rsidR="00007CCB" w:rsidRPr="005E68AC">
        <w:t>Program</w:t>
      </w:r>
      <w:r w:rsidR="00007CCB">
        <w:t>om</w:t>
      </w:r>
      <w:r w:rsidR="00007CCB" w:rsidRPr="005E68AC">
        <w:t xml:space="preserve"> modernizacije nerazvrstanih cesta</w:t>
      </w:r>
      <w:r w:rsidR="00007CCB">
        <w:t>, te će se početak radova na cestama predviđenih za modernizaciju prilagođavati dinamici izvođenja radova na aglomeraciji.</w:t>
      </w:r>
    </w:p>
    <w:p w14:paraId="3D3A2721" w14:textId="77777777" w:rsidR="00D25DD8" w:rsidRPr="005E68AC" w:rsidRDefault="00D25DD8" w:rsidP="006C1E42">
      <w:pPr>
        <w:jc w:val="both"/>
      </w:pPr>
      <w:r>
        <w:t xml:space="preserve">Programom se planiraju i sredstva za asfaltiranje najkritičnijih dionica nerazvrstanih cesta, koja nisu predviđena </w:t>
      </w:r>
      <w:r w:rsidRPr="005E68AC">
        <w:t>višegodišnj</w:t>
      </w:r>
      <w:r>
        <w:t xml:space="preserve">im </w:t>
      </w:r>
      <w:r w:rsidRPr="005E68AC">
        <w:t>Programu modernizacije nerazvrstanih cesta</w:t>
      </w:r>
      <w:r>
        <w:t>, ali zbog znatnih oštećenja tijekom proteklih godina uslijed obilnih kiša zahtijevaju hitnu i kvalitetnu sanaciju, kako bi se umanjili znatni troškovi stalnih sanacija makadama nakon jačih oborina.</w:t>
      </w:r>
    </w:p>
    <w:p w14:paraId="7AFBE404" w14:textId="677B4C8F" w:rsidR="00885376" w:rsidRPr="005E68AC" w:rsidRDefault="00527CD9" w:rsidP="00527CD9">
      <w:pPr>
        <w:jc w:val="both"/>
      </w:pPr>
      <w:r w:rsidRPr="005E68AC">
        <w:t xml:space="preserve">Projekcija za </w:t>
      </w:r>
      <w:r w:rsidR="00FC7D18">
        <w:t>202</w:t>
      </w:r>
      <w:r w:rsidR="00007CCB">
        <w:t>2</w:t>
      </w:r>
      <w:r w:rsidR="00407187" w:rsidRPr="005E68AC">
        <w:t xml:space="preserve">. i </w:t>
      </w:r>
      <w:r w:rsidR="00FC7D18">
        <w:t>202</w:t>
      </w:r>
      <w:r w:rsidR="00007CCB">
        <w:t>3</w:t>
      </w:r>
      <w:r w:rsidRPr="005E68AC">
        <w:t xml:space="preserve">. godinu temelji se na procjeni troškova modernizacije (asfaltiranja) nerazvrstanih cesta, </w:t>
      </w:r>
      <w:r w:rsidR="00E2768A" w:rsidRPr="005E68AC">
        <w:t>te procjenama troškova obnove asfaltnog kolnika u onim ulicama u Ivancu u kojima se neće izvoditi radovi na izgradnji sustava odvodnje i pročišćavanja otpadnih voda (aglomeracija Ivanec)</w:t>
      </w:r>
      <w:r w:rsidR="005E68AC">
        <w:t xml:space="preserve">, sve prema </w:t>
      </w:r>
      <w:r w:rsidR="005E68AC" w:rsidRPr="005E68AC">
        <w:t>višegodišnjem Programu modernizacije nerazvrstanih cest</w:t>
      </w:r>
      <w:r w:rsidR="00007CCB">
        <w:t>a</w:t>
      </w:r>
      <w:r w:rsidR="00885376" w:rsidRPr="005E68AC">
        <w:t>.</w:t>
      </w:r>
    </w:p>
    <w:p w14:paraId="2C677526" w14:textId="77777777" w:rsidR="0012074D" w:rsidRDefault="0012074D" w:rsidP="006C1E42">
      <w:pPr>
        <w:jc w:val="both"/>
      </w:pPr>
    </w:p>
    <w:p w14:paraId="7B6B5E0C" w14:textId="77777777" w:rsidR="007D1162" w:rsidRPr="00A31E8A" w:rsidRDefault="007D1162" w:rsidP="007D1162">
      <w:pPr>
        <w:rPr>
          <w:b/>
        </w:rPr>
      </w:pPr>
      <w:r w:rsidRPr="00A31E8A">
        <w:rPr>
          <w:b/>
        </w:rPr>
        <w:t xml:space="preserve">Kapitalni projekt: </w:t>
      </w:r>
      <w:r>
        <w:rPr>
          <w:b/>
        </w:rPr>
        <w:t>Javna rasvjeta</w:t>
      </w:r>
    </w:p>
    <w:p w14:paraId="6103DDF4" w14:textId="77777777" w:rsidR="007D1162" w:rsidRDefault="007D1162" w:rsidP="007D1162"/>
    <w:p w14:paraId="6C66D38C" w14:textId="77777777" w:rsidR="007D1162" w:rsidRPr="00B213C9" w:rsidRDefault="007D1162" w:rsidP="007D1162">
      <w:pPr>
        <w:jc w:val="both"/>
      </w:pPr>
      <w:r w:rsidRPr="00B213C9">
        <w:t xml:space="preserve">Cilj projekta je smanjivanje troškova javne rasvjete kroz stalna ulaganja u obnovu i zamjenu postojeće javne rasvjete novim štedljivim rasvjetnim tijelima, te izdvajanje objekata i uređaja za </w:t>
      </w:r>
      <w:r w:rsidRPr="00B213C9">
        <w:lastRenderedPageBreak/>
        <w:t>upravljanje javnom rasvjetom iz trafostanica, kako bi se stekli uvjeti samostalnog upravljanja javnom rasvjetom. Nov</w:t>
      </w:r>
      <w:r w:rsidR="00EE419B" w:rsidRPr="00B213C9">
        <w:t>om</w:t>
      </w:r>
      <w:r w:rsidRPr="00B213C9">
        <w:t xml:space="preserve"> zakonsk</w:t>
      </w:r>
      <w:r w:rsidR="00EE419B" w:rsidRPr="00B213C9">
        <w:t>om</w:t>
      </w:r>
      <w:r w:rsidRPr="00B213C9">
        <w:t xml:space="preserve"> regulativ</w:t>
      </w:r>
      <w:r w:rsidR="00EE419B" w:rsidRPr="00B213C9">
        <w:t>om</w:t>
      </w:r>
      <w:r w:rsidRPr="00B213C9">
        <w:t xml:space="preserve"> </w:t>
      </w:r>
      <w:r w:rsidR="00044715" w:rsidRPr="00B213C9">
        <w:t>propisane su</w:t>
      </w:r>
      <w:r w:rsidRPr="00B213C9">
        <w:t xml:space="preserve"> mjere zaštite od nepotrebnih, nekorisnih ili štetnih emisija svjetlosti u prostor u zoni i izvan zone koju je potrebno osvijetliti te mjere zaštite noćnog neba od prekomjernog osvjetljenja</w:t>
      </w:r>
      <w:r w:rsidR="00044715" w:rsidRPr="00B213C9">
        <w:t>, što ovaj projekt čini još važnijim u zaštiti okoliša.</w:t>
      </w:r>
    </w:p>
    <w:p w14:paraId="3FCE9001" w14:textId="77777777" w:rsidR="007D1162" w:rsidRPr="00B213C9" w:rsidRDefault="007D1162" w:rsidP="007D1162">
      <w:r w:rsidRPr="00B213C9">
        <w:t>Zakonska osnova</w:t>
      </w:r>
    </w:p>
    <w:p w14:paraId="727750CD" w14:textId="77777777" w:rsidR="0090101D" w:rsidRPr="00B213C9" w:rsidRDefault="0090101D" w:rsidP="0090101D">
      <w:pPr>
        <w:autoSpaceDE w:val="0"/>
        <w:autoSpaceDN w:val="0"/>
        <w:adjustRightInd w:val="0"/>
      </w:pPr>
      <w:r w:rsidRPr="00B213C9">
        <w:t xml:space="preserve">- Zakon o zaštiti okoliša (NN. </w:t>
      </w:r>
      <w:r>
        <w:t>80/13,153/13, 78/15</w:t>
      </w:r>
      <w:r w:rsidRPr="00B213C9">
        <w:t>),</w:t>
      </w:r>
    </w:p>
    <w:p w14:paraId="6663AB87" w14:textId="3B9ACCFC" w:rsidR="007D1162" w:rsidRPr="00B213C9" w:rsidRDefault="007D1162" w:rsidP="007D1162">
      <w:pPr>
        <w:autoSpaceDE w:val="0"/>
        <w:autoSpaceDN w:val="0"/>
        <w:adjustRightInd w:val="0"/>
      </w:pPr>
      <w:r w:rsidRPr="00B213C9">
        <w:t>- Zakon o zaštiti od svjetlosnog onečišćenja (NN 1</w:t>
      </w:r>
      <w:r w:rsidR="007A3892">
        <w:t>4/1</w:t>
      </w:r>
      <w:r w:rsidR="00835C51">
        <w:t>9</w:t>
      </w:r>
      <w:r w:rsidRPr="00B213C9">
        <w:t>),</w:t>
      </w:r>
    </w:p>
    <w:p w14:paraId="18B838FB" w14:textId="77777777" w:rsidR="007D1162" w:rsidRPr="00B213C9" w:rsidRDefault="007D1162" w:rsidP="007D1162">
      <w:pPr>
        <w:autoSpaceDE w:val="0"/>
        <w:autoSpaceDN w:val="0"/>
        <w:adjustRightInd w:val="0"/>
      </w:pPr>
      <w:r w:rsidRPr="00B213C9">
        <w:t xml:space="preserve">- </w:t>
      </w:r>
      <w:r w:rsidR="007C789F">
        <w:t>Zakon</w:t>
      </w:r>
      <w:r w:rsidR="002C465A">
        <w:t xml:space="preserve"> o komunalnom gospodarstvu (NN 68/18)</w:t>
      </w:r>
      <w:r w:rsidR="007C789F">
        <w:t>,</w:t>
      </w:r>
    </w:p>
    <w:p w14:paraId="6E6EADFA" w14:textId="77777777" w:rsidR="00D21BE7" w:rsidRPr="00B213C9" w:rsidRDefault="00D21BE7" w:rsidP="00D21BE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271543E3" w14:textId="77777777" w:rsidR="002C465A" w:rsidRDefault="002C465A" w:rsidP="007D1162">
      <w:pPr>
        <w:jc w:val="both"/>
      </w:pPr>
    </w:p>
    <w:p w14:paraId="75DA1CE0" w14:textId="77777777" w:rsidR="00044715" w:rsidRDefault="007D1162" w:rsidP="007D1162">
      <w:pPr>
        <w:jc w:val="both"/>
      </w:pPr>
      <w:r w:rsidRPr="00B213C9">
        <w:t>Aktivnosti: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134"/>
        <w:gridCol w:w="1134"/>
      </w:tblGrid>
      <w:tr w:rsidR="004A01F0" w:rsidRPr="00522134" w14:paraId="1881ACD2" w14:textId="77777777" w:rsidTr="004A01F0">
        <w:trPr>
          <w:cantSplit/>
          <w:trHeight w:val="4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546" w14:textId="77777777" w:rsidR="004A01F0" w:rsidRPr="00522134" w:rsidRDefault="004A01F0" w:rsidP="004A01F0">
            <w:pPr>
              <w:pStyle w:val="Odlomakpopis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FED6" w14:textId="77777777" w:rsidR="004A01F0" w:rsidRPr="00522134" w:rsidRDefault="004A01F0" w:rsidP="004A01F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841" w14:textId="77777777" w:rsidR="004A01F0" w:rsidRPr="00522134" w:rsidRDefault="004A01F0" w:rsidP="004A01F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Projekcija 2022.g.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E83" w14:textId="77777777" w:rsidR="004A01F0" w:rsidRPr="00522134" w:rsidRDefault="004A01F0" w:rsidP="004A01F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522134">
              <w:rPr>
                <w:b/>
                <w:bCs/>
                <w:sz w:val="20"/>
                <w:szCs w:val="20"/>
              </w:rPr>
              <w:t>Projekcija 2023.g.</w:t>
            </w:r>
          </w:p>
        </w:tc>
      </w:tr>
      <w:tr w:rsidR="004A01F0" w:rsidRPr="004A01F0" w14:paraId="61054F4E" w14:textId="4B6970EA" w:rsidTr="004A01F0">
        <w:trPr>
          <w:cantSplit/>
          <w:trHeight w:val="4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2B1A" w14:textId="01FF2C7B" w:rsidR="004A01F0" w:rsidRPr="004A01F0" w:rsidRDefault="004A01F0" w:rsidP="004A01F0">
            <w:pPr>
              <w:pStyle w:val="Odlomakpopisa"/>
              <w:adjustRightInd w:val="0"/>
              <w:ind w:left="0"/>
              <w:rPr>
                <w:b/>
                <w:bCs/>
                <w:sz w:val="20"/>
                <w:szCs w:val="20"/>
              </w:rPr>
            </w:pPr>
            <w:r w:rsidRPr="004A01F0">
              <w:rPr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994" w14:textId="2DC244FB" w:rsidR="004A01F0" w:rsidRPr="004A01F0" w:rsidRDefault="004A01F0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4A01F0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55C78" w14:textId="50709B02" w:rsidR="004A01F0" w:rsidRPr="004A01F0" w:rsidRDefault="00A552C7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  <w:r w:rsidR="004A01F0">
              <w:rPr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D99BA" w14:textId="5BC27B3A" w:rsidR="004A01F0" w:rsidRPr="004A01F0" w:rsidRDefault="00A552C7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  <w:r w:rsidR="004A01F0">
              <w:rPr>
                <w:b/>
                <w:bCs/>
                <w:sz w:val="20"/>
                <w:szCs w:val="20"/>
              </w:rPr>
              <w:t>00.000,00</w:t>
            </w:r>
          </w:p>
        </w:tc>
      </w:tr>
      <w:tr w:rsidR="004A01F0" w:rsidRPr="004A01F0" w14:paraId="4DAB64F7" w14:textId="359F2A72" w:rsidTr="00B77CB8">
        <w:trPr>
          <w:cantSplit/>
          <w:trHeight w:val="3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8653" w14:textId="77777777" w:rsidR="004A01F0" w:rsidRPr="004A01F0" w:rsidRDefault="004A01F0" w:rsidP="0077542D">
            <w:pPr>
              <w:adjustRightInd w:val="0"/>
              <w:ind w:right="108"/>
              <w:rPr>
                <w:sz w:val="20"/>
                <w:szCs w:val="20"/>
              </w:rPr>
            </w:pPr>
            <w:r w:rsidRPr="004A01F0">
              <w:rPr>
                <w:bCs/>
                <w:sz w:val="20"/>
                <w:szCs w:val="20"/>
              </w:rPr>
              <w:t>1. Elaborat javne rasvjete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F359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4A01F0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44E6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21E5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4A01F0" w:rsidRPr="004A01F0" w14:paraId="5716DEF4" w14:textId="561D16CC" w:rsidTr="00B77CB8">
        <w:trPr>
          <w:cantSplit/>
          <w:trHeight w:val="13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16FE" w14:textId="77777777" w:rsidR="004A01F0" w:rsidRPr="004A01F0" w:rsidRDefault="004A01F0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4A01F0">
              <w:rPr>
                <w:bCs/>
                <w:sz w:val="20"/>
                <w:szCs w:val="20"/>
              </w:rPr>
              <w:t>1.1. Projektna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CE2F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4A01F0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1B6A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06A53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4A01F0" w:rsidRPr="004A01F0" w14:paraId="1173F574" w14:textId="6BFBC04D" w:rsidTr="00B77CB8">
        <w:trPr>
          <w:cantSplit/>
          <w:trHeight w:val="287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218" w14:textId="77777777" w:rsidR="004A01F0" w:rsidRPr="004A01F0" w:rsidRDefault="004A01F0" w:rsidP="0077542D">
            <w:pPr>
              <w:adjustRightInd w:val="0"/>
              <w:ind w:right="108"/>
              <w:rPr>
                <w:sz w:val="20"/>
                <w:szCs w:val="20"/>
              </w:rPr>
            </w:pPr>
            <w:r w:rsidRPr="004A01F0">
              <w:rPr>
                <w:bCs/>
                <w:sz w:val="20"/>
                <w:szCs w:val="20"/>
              </w:rPr>
              <w:t>2. Dopuna javne rasvjete na području Grada Ivanca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16DD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4A01F0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0F9E3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D351F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4A01F0" w:rsidRPr="004A01F0" w14:paraId="205F8C81" w14:textId="79BBB682" w:rsidTr="00B77CB8">
        <w:trPr>
          <w:cantSplit/>
          <w:trHeight w:val="13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B2FD" w14:textId="77777777" w:rsidR="004A01F0" w:rsidRPr="004A01F0" w:rsidRDefault="004A01F0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4A01F0">
              <w:rPr>
                <w:bCs/>
                <w:sz w:val="20"/>
                <w:szCs w:val="20"/>
              </w:rPr>
              <w:t>2.1.Dopuna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3867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4A01F0"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EBC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7AC" w14:textId="77777777" w:rsidR="004A01F0" w:rsidRPr="004A01F0" w:rsidRDefault="004A01F0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</w:tbl>
    <w:p w14:paraId="62C9F448" w14:textId="77777777" w:rsidR="002C465A" w:rsidRDefault="002C465A" w:rsidP="007D1162">
      <w:pPr>
        <w:jc w:val="both"/>
      </w:pPr>
    </w:p>
    <w:p w14:paraId="78AD6AE9" w14:textId="3AD0ECD1" w:rsidR="00810D50" w:rsidRPr="007B13D4" w:rsidRDefault="00044715" w:rsidP="003F6CD0">
      <w:pPr>
        <w:jc w:val="both"/>
      </w:pPr>
      <w:r>
        <w:t xml:space="preserve">Financijski plan </w:t>
      </w:r>
      <w:r w:rsidR="00A245DE">
        <w:t>iznosi</w:t>
      </w:r>
      <w:r w:rsidR="002D60A4">
        <w:t xml:space="preserve"> </w:t>
      </w:r>
      <w:r w:rsidR="003F6CD0">
        <w:t>200</w:t>
      </w:r>
      <w:r w:rsidR="002D60A4">
        <w:t>.</w:t>
      </w:r>
      <w:r w:rsidR="00A245DE">
        <w:t>0</w:t>
      </w:r>
      <w:r w:rsidR="002D60A4">
        <w:t>00,00 kn</w:t>
      </w:r>
      <w:r w:rsidR="002D60A4" w:rsidRPr="007B13D4">
        <w:t xml:space="preserve">, </w:t>
      </w:r>
      <w:r w:rsidR="00A245DE" w:rsidRPr="007B13D4">
        <w:t xml:space="preserve">a odnosi se na procijenjene </w:t>
      </w:r>
      <w:r w:rsidR="00AF76C0" w:rsidRPr="007B13D4">
        <w:t>troškove</w:t>
      </w:r>
      <w:r w:rsidR="003F6CD0">
        <w:t xml:space="preserve"> izrade projektne dokumentacije modernizacije javne rasvjete za buduće zahvate na javnoj rasvjeti, te </w:t>
      </w:r>
      <w:r w:rsidR="007B13D4">
        <w:t>dopunu javne rasvjete</w:t>
      </w:r>
      <w:r w:rsidR="00810D50" w:rsidRPr="007B13D4">
        <w:t>.</w:t>
      </w:r>
    </w:p>
    <w:p w14:paraId="2FEB570B" w14:textId="1985CA4C" w:rsidR="005D6637" w:rsidRPr="007B13D4" w:rsidRDefault="005D6637" w:rsidP="005D6637">
      <w:pPr>
        <w:jc w:val="both"/>
      </w:pPr>
      <w:r w:rsidRPr="007B13D4">
        <w:t xml:space="preserve">Projekcija za </w:t>
      </w:r>
      <w:r w:rsidR="00FC7D18">
        <w:t>202</w:t>
      </w:r>
      <w:r w:rsidR="003F6CD0">
        <w:t>2</w:t>
      </w:r>
      <w:r w:rsidR="00407187" w:rsidRPr="007B13D4">
        <w:t xml:space="preserve">. i </w:t>
      </w:r>
      <w:r w:rsidR="00FC7D18">
        <w:t>202</w:t>
      </w:r>
      <w:r w:rsidR="003F6CD0">
        <w:t>3</w:t>
      </w:r>
      <w:r w:rsidRPr="007B13D4">
        <w:t xml:space="preserve">. godinu temelji se na procjeni troškova </w:t>
      </w:r>
      <w:r w:rsidR="00A552C7">
        <w:t>provedbe projekta štedne rasvjete na području Grada Ivanca.</w:t>
      </w:r>
    </w:p>
    <w:p w14:paraId="72771823" w14:textId="77777777" w:rsidR="00CC40DB" w:rsidRDefault="00CC40DB" w:rsidP="002B4799">
      <w:pPr>
        <w:jc w:val="both"/>
      </w:pPr>
    </w:p>
    <w:p w14:paraId="5DE5DA11" w14:textId="77777777" w:rsidR="00BF72C2" w:rsidRPr="00BF72C2" w:rsidRDefault="002961D6" w:rsidP="00BF72C2">
      <w:pPr>
        <w:rPr>
          <w:b/>
        </w:rPr>
      </w:pPr>
      <w:r w:rsidRPr="00A31E8A">
        <w:rPr>
          <w:b/>
        </w:rPr>
        <w:t xml:space="preserve">Kapitalni projekt: </w:t>
      </w:r>
      <w:r w:rsidR="00BF72C2" w:rsidRPr="00BF72C2">
        <w:rPr>
          <w:b/>
        </w:rPr>
        <w:t>Program gradnje građevina za gospodarenje komunalnim otpadom</w:t>
      </w:r>
    </w:p>
    <w:p w14:paraId="55EBB8FB" w14:textId="77777777" w:rsidR="00BF72C2" w:rsidRDefault="00BF72C2" w:rsidP="002961D6"/>
    <w:p w14:paraId="4F246A39" w14:textId="77777777" w:rsidR="002961D6" w:rsidRPr="00B213C9" w:rsidRDefault="002961D6" w:rsidP="002961D6">
      <w:pPr>
        <w:jc w:val="both"/>
      </w:pPr>
      <w:r w:rsidRPr="00B213C9">
        <w:t>Cilj projekta je sanacija odlagališta komunalnog otpada „</w:t>
      </w:r>
      <w:proofErr w:type="spellStart"/>
      <w:r w:rsidRPr="00B213C9">
        <w:t>Jerovec</w:t>
      </w:r>
      <w:proofErr w:type="spellEnd"/>
      <w:r w:rsidRPr="00B213C9">
        <w:t xml:space="preserve">“, i smanjivanje negativnog utjecaja na okoliš koji ima odlagalište, </w:t>
      </w:r>
      <w:r w:rsidR="00BF72C2">
        <w:t xml:space="preserve">te gradnjom objekata za gospodarenje komunalnim otpadom </w:t>
      </w:r>
      <w:r w:rsidRPr="00B213C9">
        <w:t>istovremeno podizanje kvalitete života u okolnim naseljima</w:t>
      </w:r>
      <w:r w:rsidR="005664FF">
        <w:t xml:space="preserve"> i smanjenja količina otpada</w:t>
      </w:r>
      <w:r w:rsidRPr="00B213C9">
        <w:t>.</w:t>
      </w:r>
    </w:p>
    <w:p w14:paraId="430BDBE8" w14:textId="77777777" w:rsidR="002961D6" w:rsidRPr="00B213C9" w:rsidRDefault="002961D6" w:rsidP="002961D6">
      <w:r w:rsidRPr="00B213C9">
        <w:t>Zakonska osnova</w:t>
      </w:r>
    </w:p>
    <w:p w14:paraId="39002CE5" w14:textId="77777777" w:rsidR="002961D6" w:rsidRPr="00B213C9" w:rsidRDefault="002961D6" w:rsidP="002961D6">
      <w:pPr>
        <w:autoSpaceDE w:val="0"/>
        <w:autoSpaceDN w:val="0"/>
        <w:adjustRightInd w:val="0"/>
      </w:pPr>
      <w:r w:rsidRPr="00B213C9">
        <w:t xml:space="preserve">- Zakon o zaštiti okoliša (NN. </w:t>
      </w:r>
      <w:r w:rsidR="00594AB9">
        <w:t>80/13,153/13, 78/15</w:t>
      </w:r>
      <w:r w:rsidRPr="00B213C9">
        <w:t>),</w:t>
      </w:r>
    </w:p>
    <w:p w14:paraId="56C73052" w14:textId="77777777" w:rsidR="002961D6" w:rsidRPr="00B213C9" w:rsidRDefault="002961D6" w:rsidP="002961D6">
      <w:pPr>
        <w:autoSpaceDE w:val="0"/>
        <w:autoSpaceDN w:val="0"/>
        <w:adjustRightInd w:val="0"/>
      </w:pPr>
      <w:r w:rsidRPr="00B213C9">
        <w:t>- Zakon o zaštiti prirode (NN. 70/05, 139/08, 57/11),</w:t>
      </w:r>
    </w:p>
    <w:p w14:paraId="32959F8B" w14:textId="77777777" w:rsidR="002961D6" w:rsidRPr="00B213C9" w:rsidRDefault="002961D6" w:rsidP="00BC2F91">
      <w:pPr>
        <w:jc w:val="both"/>
      </w:pPr>
      <w:r w:rsidRPr="00B213C9">
        <w:t xml:space="preserve">- </w:t>
      </w:r>
      <w:r w:rsidR="00BC2F91" w:rsidRPr="00BC2F91">
        <w:t>Zakon o održivom gospodarenju otpadom</w:t>
      </w:r>
      <w:r w:rsidRPr="00B213C9">
        <w:t xml:space="preserve"> (NN. </w:t>
      </w:r>
      <w:r w:rsidR="00BC2F91">
        <w:t>94/13</w:t>
      </w:r>
      <w:r w:rsidRPr="00B213C9">
        <w:t>),</w:t>
      </w:r>
    </w:p>
    <w:p w14:paraId="31166499" w14:textId="77777777" w:rsidR="00D678CB" w:rsidRPr="00B213C9" w:rsidRDefault="00D678CB" w:rsidP="00D678CB">
      <w:pPr>
        <w:autoSpaceDE w:val="0"/>
        <w:autoSpaceDN w:val="0"/>
        <w:adjustRightInd w:val="0"/>
      </w:pPr>
      <w:r w:rsidRPr="00B213C9">
        <w:t xml:space="preserve">- </w:t>
      </w:r>
      <w:r>
        <w:t xml:space="preserve">Zakon o komunalnom gospodarstvu (NN </w:t>
      </w:r>
      <w:r w:rsidR="00E743A0">
        <w:t>68/18</w:t>
      </w:r>
      <w:r>
        <w:t>),</w:t>
      </w:r>
    </w:p>
    <w:p w14:paraId="431E17E6" w14:textId="77777777" w:rsidR="00D21BE7" w:rsidRPr="00B213C9" w:rsidRDefault="00D21BE7" w:rsidP="00D21BE7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7487B5FB" w14:textId="77777777" w:rsidR="000E6EAC" w:rsidRDefault="000E6EAC" w:rsidP="002961D6">
      <w:pPr>
        <w:jc w:val="both"/>
      </w:pPr>
    </w:p>
    <w:p w14:paraId="155D5FD0" w14:textId="353492CB" w:rsidR="002961D6" w:rsidRDefault="002961D6" w:rsidP="002961D6">
      <w:pPr>
        <w:jc w:val="both"/>
      </w:pPr>
      <w:r w:rsidRPr="00B213C9">
        <w:t>Aktivnosti: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8"/>
        <w:gridCol w:w="1134"/>
        <w:gridCol w:w="1276"/>
        <w:gridCol w:w="1276"/>
      </w:tblGrid>
      <w:tr w:rsidR="00C4066E" w:rsidRPr="009143F9" w14:paraId="7F51BFD5" w14:textId="77777777" w:rsidTr="00C4066E">
        <w:trPr>
          <w:cantSplit/>
          <w:trHeight w:val="4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F735" w14:textId="77777777" w:rsidR="00C4066E" w:rsidRPr="00CF2C81" w:rsidRDefault="00C4066E" w:rsidP="00C4066E">
            <w:pPr>
              <w:pStyle w:val="Odlomakpopisa"/>
              <w:adjustRightIn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F2C81">
              <w:rPr>
                <w:b/>
                <w:bCs/>
                <w:sz w:val="20"/>
                <w:szCs w:val="20"/>
              </w:rPr>
              <w:t>Naziv objekta ili uređaja / vrsta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B2F" w14:textId="7521578C" w:rsidR="00C4066E" w:rsidRPr="00CF2C81" w:rsidRDefault="00C4066E" w:rsidP="00C4066E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F2C81">
              <w:rPr>
                <w:b/>
                <w:bCs/>
                <w:sz w:val="20"/>
                <w:szCs w:val="20"/>
              </w:rPr>
              <w:t xml:space="preserve">Plan za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CF2C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406" w14:textId="7FFD6AF3" w:rsidR="00C4066E" w:rsidRPr="00CF2C81" w:rsidRDefault="00C4066E" w:rsidP="00C4066E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Projekcija 2022.g.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E06" w14:textId="7F1CC46D" w:rsidR="00C4066E" w:rsidRDefault="00C4066E" w:rsidP="00C4066E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Projekcija 2023.g.</w:t>
            </w:r>
          </w:p>
        </w:tc>
      </w:tr>
      <w:tr w:rsidR="00C4066E" w:rsidRPr="00ED11CD" w14:paraId="28183A76" w14:textId="1C798989" w:rsidTr="00C4066E">
        <w:trPr>
          <w:cantSplit/>
          <w:trHeight w:val="4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B2E5" w14:textId="32BF9D8F" w:rsidR="00C4066E" w:rsidRPr="00ED11CD" w:rsidRDefault="00C4066E" w:rsidP="00ED11CD">
            <w:pPr>
              <w:pStyle w:val="Odlomakpopisa"/>
              <w:adjustRightInd w:val="0"/>
              <w:ind w:left="0"/>
              <w:rPr>
                <w:b/>
                <w:bCs/>
                <w:sz w:val="20"/>
                <w:szCs w:val="20"/>
              </w:rPr>
            </w:pPr>
            <w:r w:rsidRPr="00ED11CD">
              <w:rPr>
                <w:b/>
                <w:bCs/>
                <w:sz w:val="20"/>
                <w:szCs w:val="20"/>
              </w:rPr>
              <w:t>GRADNJA GRAĐEVINA I NABAVA OPREME ZA GOSPODARENJE KOMUNALNIM OTPADOM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7FA" w14:textId="38EFC06C" w:rsidR="00C4066E" w:rsidRPr="00ED11CD" w:rsidRDefault="00C4066E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ED11CD">
              <w:rPr>
                <w:b/>
                <w:bCs/>
                <w:sz w:val="20"/>
                <w:szCs w:val="20"/>
              </w:rPr>
              <w:t>475.000,00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D3A9" w14:textId="394E5FC8" w:rsidR="00C4066E" w:rsidRPr="00ED11CD" w:rsidRDefault="000D03B6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</w:t>
            </w:r>
            <w:r w:rsidR="00C4066E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E1B84" w14:textId="0CBAC1DF" w:rsidR="00C4066E" w:rsidRPr="00ED11CD" w:rsidRDefault="000D03B6" w:rsidP="0077542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</w:t>
            </w:r>
            <w:r w:rsidR="00C4066E">
              <w:rPr>
                <w:b/>
                <w:bCs/>
                <w:sz w:val="20"/>
                <w:szCs w:val="20"/>
              </w:rPr>
              <w:t>0.000,00</w:t>
            </w:r>
          </w:p>
        </w:tc>
      </w:tr>
      <w:tr w:rsidR="00C4066E" w:rsidRPr="00ED11CD" w14:paraId="53B08CC4" w14:textId="3592937C" w:rsidTr="00C4066E">
        <w:trPr>
          <w:cantSplit/>
          <w:trHeight w:val="2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8B51" w14:textId="77777777" w:rsidR="00C4066E" w:rsidRPr="00ED11CD" w:rsidRDefault="00C4066E" w:rsidP="0077542D">
            <w:pPr>
              <w:adjustRightInd w:val="0"/>
              <w:ind w:left="97" w:right="108"/>
              <w:rPr>
                <w:sz w:val="20"/>
                <w:szCs w:val="20"/>
              </w:rPr>
            </w:pPr>
            <w:r w:rsidRPr="00ED11CD">
              <w:rPr>
                <w:bCs/>
                <w:sz w:val="20"/>
                <w:szCs w:val="20"/>
              </w:rPr>
              <w:t xml:space="preserve">1. </w:t>
            </w:r>
            <w:r w:rsidRPr="00ED11CD">
              <w:rPr>
                <w:sz w:val="20"/>
                <w:szCs w:val="20"/>
              </w:rPr>
              <w:t>Odlagalište komunalnog otpada «</w:t>
            </w:r>
            <w:proofErr w:type="spellStart"/>
            <w:r w:rsidRPr="00ED11CD">
              <w:rPr>
                <w:sz w:val="20"/>
                <w:szCs w:val="20"/>
              </w:rPr>
              <w:t>Jerovec</w:t>
            </w:r>
            <w:proofErr w:type="spellEnd"/>
            <w:r w:rsidRPr="00ED11C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6AA7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ED11CD"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CE3E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D1B0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C4066E" w:rsidRPr="00ED11CD" w14:paraId="49DDD526" w14:textId="12E93E62" w:rsidTr="00C4066E">
        <w:trPr>
          <w:cantSplit/>
          <w:trHeight w:val="132"/>
          <w:jc w:val="center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926" w14:textId="77777777" w:rsidR="00C4066E" w:rsidRPr="00ED11CD" w:rsidRDefault="00C4066E" w:rsidP="0077542D">
            <w:pPr>
              <w:adjustRightInd w:val="0"/>
              <w:ind w:left="239" w:right="108"/>
              <w:rPr>
                <w:bCs/>
                <w:sz w:val="20"/>
                <w:szCs w:val="20"/>
              </w:rPr>
            </w:pPr>
            <w:r w:rsidRPr="00ED11CD">
              <w:rPr>
                <w:bCs/>
                <w:sz w:val="20"/>
                <w:szCs w:val="20"/>
              </w:rPr>
              <w:t>1.1.</w:t>
            </w:r>
            <w:r w:rsidRPr="00ED11CD">
              <w:rPr>
                <w:sz w:val="20"/>
                <w:szCs w:val="20"/>
              </w:rPr>
              <w:t>Sanacija i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D464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ED11CD">
              <w:rPr>
                <w:sz w:val="20"/>
                <w:szCs w:val="20"/>
              </w:rPr>
              <w:t>75.000,00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C66CD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E93B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C4066E" w:rsidRPr="00ED11CD" w14:paraId="58025B14" w14:textId="52A235AE" w:rsidTr="00C4066E">
        <w:trPr>
          <w:cantSplit/>
          <w:trHeight w:val="353"/>
          <w:jc w:val="center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0F6" w14:textId="77777777" w:rsidR="00C4066E" w:rsidRPr="00ED11CD" w:rsidRDefault="00C4066E" w:rsidP="0077542D">
            <w:pPr>
              <w:adjustRightInd w:val="0"/>
              <w:ind w:left="108" w:right="108"/>
              <w:rPr>
                <w:sz w:val="20"/>
                <w:szCs w:val="20"/>
              </w:rPr>
            </w:pPr>
            <w:r w:rsidRPr="00ED11CD">
              <w:rPr>
                <w:sz w:val="20"/>
                <w:szCs w:val="20"/>
              </w:rPr>
              <w:t xml:space="preserve">2. Objekti za gospodarenje otpadom – </w:t>
            </w:r>
            <w:proofErr w:type="spellStart"/>
            <w:r w:rsidRPr="00ED11CD">
              <w:rPr>
                <w:sz w:val="20"/>
                <w:szCs w:val="20"/>
              </w:rPr>
              <w:t>reciklažno</w:t>
            </w:r>
            <w:proofErr w:type="spellEnd"/>
            <w:r w:rsidRPr="00ED11CD">
              <w:rPr>
                <w:sz w:val="20"/>
                <w:szCs w:val="20"/>
              </w:rPr>
              <w:t xml:space="preserve"> dvorište građevinskog otpada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C18DC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ED11CD">
              <w:rPr>
                <w:b/>
                <w:sz w:val="20"/>
                <w:szCs w:val="20"/>
              </w:rPr>
              <w:t>300.000,00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966EA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255C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C4066E" w:rsidRPr="00ED11CD" w14:paraId="404DDCC1" w14:textId="6B900965" w:rsidTr="00C4066E">
        <w:trPr>
          <w:cantSplit/>
          <w:trHeight w:val="132"/>
          <w:jc w:val="center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FC1A" w14:textId="08BE0E17" w:rsidR="00C4066E" w:rsidRPr="00ED11CD" w:rsidRDefault="00C4066E" w:rsidP="0077542D">
            <w:pPr>
              <w:adjustRightInd w:val="0"/>
              <w:ind w:left="239" w:right="108"/>
              <w:rPr>
                <w:sz w:val="20"/>
                <w:szCs w:val="20"/>
              </w:rPr>
            </w:pPr>
            <w:r w:rsidRPr="00ED11CD">
              <w:rPr>
                <w:bCs/>
                <w:sz w:val="20"/>
                <w:szCs w:val="20"/>
              </w:rPr>
              <w:t>2.1. Gradnja – kapitalna donacija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DC163C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ED11CD">
              <w:rPr>
                <w:sz w:val="20"/>
                <w:szCs w:val="20"/>
              </w:rPr>
              <w:t>300.000,00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4765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52C4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C4066E" w:rsidRPr="00ED11CD" w14:paraId="346439D4" w14:textId="2004F269" w:rsidTr="00C4066E">
        <w:trPr>
          <w:cantSplit/>
          <w:trHeight w:val="305"/>
          <w:jc w:val="center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C78" w14:textId="77777777" w:rsidR="00C4066E" w:rsidRPr="00ED11CD" w:rsidRDefault="00C4066E" w:rsidP="0077542D">
            <w:pPr>
              <w:adjustRightInd w:val="0"/>
              <w:ind w:left="97" w:right="108"/>
              <w:rPr>
                <w:bCs/>
                <w:sz w:val="20"/>
                <w:szCs w:val="20"/>
              </w:rPr>
            </w:pPr>
            <w:r w:rsidRPr="00ED11CD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ED11CD">
              <w:rPr>
                <w:bCs/>
                <w:sz w:val="20"/>
                <w:szCs w:val="20"/>
              </w:rPr>
              <w:t>Reciklažno</w:t>
            </w:r>
            <w:proofErr w:type="spellEnd"/>
            <w:r w:rsidRPr="00ED11CD">
              <w:rPr>
                <w:bCs/>
                <w:sz w:val="20"/>
                <w:szCs w:val="20"/>
              </w:rPr>
              <w:t xml:space="preserve"> dvorište Ivanec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4830C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ED11CD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1358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46B60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C4066E" w:rsidRPr="00ED11CD" w14:paraId="1863EEBC" w14:textId="08283BC9" w:rsidTr="00C4066E">
        <w:trPr>
          <w:cantSplit/>
          <w:trHeight w:val="268"/>
          <w:jc w:val="center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A3D6" w14:textId="77777777" w:rsidR="00C4066E" w:rsidRPr="00ED11CD" w:rsidRDefault="00C4066E" w:rsidP="0077542D">
            <w:pPr>
              <w:adjustRightInd w:val="0"/>
              <w:ind w:left="239" w:right="108"/>
              <w:rPr>
                <w:sz w:val="20"/>
                <w:szCs w:val="20"/>
              </w:rPr>
            </w:pPr>
            <w:r w:rsidRPr="00ED11CD">
              <w:rPr>
                <w:bCs/>
                <w:sz w:val="20"/>
                <w:szCs w:val="20"/>
              </w:rPr>
              <w:t>3.1. Gradnja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2C78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ED11CD"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1F5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5E1" w14:textId="77777777" w:rsidR="00C4066E" w:rsidRPr="00ED11CD" w:rsidRDefault="00C4066E" w:rsidP="0077542D">
            <w:pPr>
              <w:adjustRightIn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</w:tbl>
    <w:p w14:paraId="3A316B54" w14:textId="54F439DF" w:rsidR="00053608" w:rsidRDefault="00053608" w:rsidP="002961D6">
      <w:pPr>
        <w:jc w:val="both"/>
      </w:pPr>
    </w:p>
    <w:p w14:paraId="184295EA" w14:textId="23216346" w:rsidR="00BE7330" w:rsidRDefault="00A245DE" w:rsidP="002961D6">
      <w:pPr>
        <w:jc w:val="both"/>
      </w:pPr>
      <w:r>
        <w:t>Financijski pl</w:t>
      </w:r>
      <w:r w:rsidR="004B092D">
        <w:t xml:space="preserve">an iznosi </w:t>
      </w:r>
      <w:r w:rsidR="00A9083C">
        <w:t>4</w:t>
      </w:r>
      <w:r w:rsidR="00C4066E">
        <w:t>75</w:t>
      </w:r>
      <w:r>
        <w:t xml:space="preserve">.000,00 kn, a odnosi se na procijenjene troškove </w:t>
      </w:r>
      <w:r w:rsidR="00BE7330">
        <w:t xml:space="preserve">monitoringa na </w:t>
      </w:r>
      <w:r>
        <w:t>odlagališt</w:t>
      </w:r>
      <w:r w:rsidR="00BE7330">
        <w:t>u</w:t>
      </w:r>
      <w:r>
        <w:t xml:space="preserve"> u </w:t>
      </w:r>
      <w:r w:rsidR="00FC7D18">
        <w:t>202</w:t>
      </w:r>
      <w:r w:rsidR="00C4066E">
        <w:t>1</w:t>
      </w:r>
      <w:r>
        <w:t>. godini</w:t>
      </w:r>
      <w:r w:rsidR="008168BC">
        <w:t xml:space="preserve"> te troškove </w:t>
      </w:r>
      <w:r w:rsidR="00A9083C">
        <w:t>nastavka</w:t>
      </w:r>
      <w:r w:rsidR="008168BC">
        <w:t xml:space="preserve"> aktivnosti na izgradnji </w:t>
      </w:r>
      <w:proofErr w:type="spellStart"/>
      <w:r w:rsidR="008168BC">
        <w:t>reciklažnog</w:t>
      </w:r>
      <w:proofErr w:type="spellEnd"/>
      <w:r w:rsidR="008168BC">
        <w:t xml:space="preserve"> d</w:t>
      </w:r>
      <w:r w:rsidR="00385F99">
        <w:t>vorišta građevinskog otpada</w:t>
      </w:r>
      <w:r w:rsidR="00DD7797">
        <w:t xml:space="preserve"> i </w:t>
      </w:r>
      <w:proofErr w:type="spellStart"/>
      <w:r w:rsidR="00DD7797">
        <w:t>reciklažnog</w:t>
      </w:r>
      <w:proofErr w:type="spellEnd"/>
      <w:r w:rsidR="00DD7797">
        <w:t xml:space="preserve"> dvorišta za komunalni otpad</w:t>
      </w:r>
      <w:r w:rsidR="00BE7330">
        <w:t>.</w:t>
      </w:r>
    </w:p>
    <w:p w14:paraId="4D7DFA63" w14:textId="4E95883C" w:rsidR="009C75F8" w:rsidRDefault="009C75F8" w:rsidP="009C75F8">
      <w:pPr>
        <w:jc w:val="both"/>
      </w:pPr>
      <w:r>
        <w:lastRenderedPageBreak/>
        <w:t xml:space="preserve">Projekcija za </w:t>
      </w:r>
      <w:r w:rsidR="00FC7D18">
        <w:t>202</w:t>
      </w:r>
      <w:r w:rsidR="00DD7797">
        <w:t>2</w:t>
      </w:r>
      <w:r>
        <w:t xml:space="preserve">. i </w:t>
      </w:r>
      <w:r w:rsidR="00FC7D18">
        <w:t>202</w:t>
      </w:r>
      <w:r w:rsidR="00DD7797">
        <w:t>3</w:t>
      </w:r>
      <w:r>
        <w:t>. godinu temelji se na procjeni troškova monitoringa odlagališta, te gradnje objekata i nabave opreme za gospodarenje otpadom</w:t>
      </w:r>
      <w:r w:rsidR="00C22989">
        <w:t xml:space="preserve"> i</w:t>
      </w:r>
      <w:r>
        <w:t xml:space="preserve"> </w:t>
      </w:r>
      <w:proofErr w:type="spellStart"/>
      <w:r>
        <w:t>reciklažnih</w:t>
      </w:r>
      <w:proofErr w:type="spellEnd"/>
      <w:r>
        <w:t xml:space="preserve"> dvorišta.</w:t>
      </w:r>
    </w:p>
    <w:p w14:paraId="6C71CC29" w14:textId="77777777" w:rsidR="009C75F8" w:rsidRDefault="009C75F8" w:rsidP="00653A22">
      <w:pPr>
        <w:jc w:val="both"/>
      </w:pPr>
    </w:p>
    <w:p w14:paraId="64B23D33" w14:textId="13A183E5" w:rsidR="00653A22" w:rsidRDefault="00653A22" w:rsidP="00653A22">
      <w:pPr>
        <w:jc w:val="both"/>
      </w:pPr>
      <w:r>
        <w:t>Ukupni financijski plan Programa gra</w:t>
      </w:r>
      <w:r w:rsidR="00C22989">
        <w:t xml:space="preserve">đenja </w:t>
      </w:r>
      <w:r>
        <w:t xml:space="preserve">objekata i uređaja komunalne infrastrukture za </w:t>
      </w:r>
      <w:r w:rsidR="00FC7D18">
        <w:t>202</w:t>
      </w:r>
      <w:r w:rsidR="00C22989">
        <w:t>1</w:t>
      </w:r>
      <w:r w:rsidR="005650B3">
        <w:t xml:space="preserve">. godinu iznosi </w:t>
      </w:r>
      <w:r w:rsidR="00C22989">
        <w:t>6</w:t>
      </w:r>
      <w:r>
        <w:t>.</w:t>
      </w:r>
      <w:r w:rsidR="00C22989">
        <w:t>925</w:t>
      </w:r>
      <w:r>
        <w:t>.000,00 kn, a odnosi se na gradnju objekata i uređaja komunalne infrastrukture, kao i izradu predviđene projektne dokumentacije.</w:t>
      </w:r>
    </w:p>
    <w:p w14:paraId="24E2B48E" w14:textId="77777777" w:rsidR="00C27AD5" w:rsidRDefault="00C27AD5" w:rsidP="00653A22">
      <w:pPr>
        <w:jc w:val="both"/>
      </w:pPr>
    </w:p>
    <w:p w14:paraId="28357C10" w14:textId="58104BB8" w:rsidR="00857A6E" w:rsidRDefault="00857A6E" w:rsidP="00857A6E">
      <w:pPr>
        <w:jc w:val="both"/>
      </w:pPr>
      <w:r>
        <w:t xml:space="preserve">Projekcije za </w:t>
      </w:r>
      <w:r w:rsidR="00FC7D18">
        <w:t>202</w:t>
      </w:r>
      <w:r w:rsidR="00C22989">
        <w:t>2</w:t>
      </w:r>
      <w:r w:rsidR="00407187">
        <w:t xml:space="preserve">. i </w:t>
      </w:r>
      <w:r w:rsidR="00FC7D18">
        <w:t>202</w:t>
      </w:r>
      <w:r w:rsidR="00C22989">
        <w:t>3</w:t>
      </w:r>
      <w:r>
        <w:t xml:space="preserve"> godinu temelje se na procjeni troškova planiranih ulaganja u gradnju objekata i uređaja komunalne infrastrukture, koje se provode kroz višegodišnje projekte ili započinjanja novih projekata.</w:t>
      </w:r>
    </w:p>
    <w:p w14:paraId="26E52870" w14:textId="77777777" w:rsidR="00B213C9" w:rsidRPr="00B213C9" w:rsidRDefault="00880D9B" w:rsidP="00880D9B">
      <w:pPr>
        <w:tabs>
          <w:tab w:val="left" w:pos="5280"/>
          <w:tab w:val="right" w:pos="9355"/>
        </w:tabs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 w:rsidR="00B213C9" w:rsidRPr="00B213C9">
        <w:rPr>
          <w:rStyle w:val="Naglaeno"/>
          <w:b w:val="0"/>
        </w:rPr>
        <w:t>Upravni odjel za urbanizam,</w:t>
      </w:r>
    </w:p>
    <w:p w14:paraId="404D1420" w14:textId="77777777" w:rsidR="00BC665A" w:rsidRDefault="00B213C9" w:rsidP="007C01E5">
      <w:pPr>
        <w:jc w:val="right"/>
      </w:pPr>
      <w:r w:rsidRPr="00B213C9">
        <w:rPr>
          <w:rStyle w:val="Naglaeno"/>
          <w:b w:val="0"/>
        </w:rPr>
        <w:t>komunalne poslove i zaštitu okoliša</w:t>
      </w:r>
    </w:p>
    <w:sectPr w:rsidR="00BC665A" w:rsidSect="000A4B22">
      <w:footerReference w:type="even" r:id="rId8"/>
      <w:footerReference w:type="default" r:id="rId9"/>
      <w:footerReference w:type="first" r:id="rId10"/>
      <w:pgSz w:w="11906" w:h="16838"/>
      <w:pgMar w:top="993" w:right="1247" w:bottom="284" w:left="1304" w:header="720" w:footer="13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E690" w14:textId="77777777" w:rsidR="00D60445" w:rsidRDefault="00D60445">
      <w:r>
        <w:separator/>
      </w:r>
    </w:p>
  </w:endnote>
  <w:endnote w:type="continuationSeparator" w:id="0">
    <w:p w14:paraId="25F5FEC8" w14:textId="77777777" w:rsidR="00D60445" w:rsidRDefault="00D6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6E72" w14:textId="77777777" w:rsidR="003E697F" w:rsidRDefault="003E697F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D6EC5E" w14:textId="77777777" w:rsidR="003E697F" w:rsidRDefault="003E69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D599" w14:textId="77777777" w:rsidR="003E697F" w:rsidRDefault="003E697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6622101" w14:textId="77777777" w:rsidR="003E697F" w:rsidRDefault="003E69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127F" w14:textId="77777777" w:rsidR="003E697F" w:rsidRDefault="003E697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02D61C9" w14:textId="77777777" w:rsidR="003E697F" w:rsidRDefault="003E69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09B4" w14:textId="77777777" w:rsidR="00D60445" w:rsidRDefault="00D60445">
      <w:r>
        <w:separator/>
      </w:r>
    </w:p>
  </w:footnote>
  <w:footnote w:type="continuationSeparator" w:id="0">
    <w:p w14:paraId="6557A249" w14:textId="77777777" w:rsidR="00D60445" w:rsidRDefault="00D6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591"/>
    <w:multiLevelType w:val="hybridMultilevel"/>
    <w:tmpl w:val="23480A3E"/>
    <w:lvl w:ilvl="0" w:tplc="C98EF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07B24"/>
    <w:multiLevelType w:val="hybridMultilevel"/>
    <w:tmpl w:val="D3DE679A"/>
    <w:lvl w:ilvl="0" w:tplc="F1DC500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9942F6E"/>
    <w:multiLevelType w:val="hybridMultilevel"/>
    <w:tmpl w:val="792C29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92524"/>
    <w:multiLevelType w:val="multilevel"/>
    <w:tmpl w:val="307A0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BA77A46"/>
    <w:multiLevelType w:val="hybridMultilevel"/>
    <w:tmpl w:val="D9B0F712"/>
    <w:lvl w:ilvl="0" w:tplc="1E560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5F2"/>
    <w:multiLevelType w:val="hybridMultilevel"/>
    <w:tmpl w:val="89A4F1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52E56"/>
    <w:multiLevelType w:val="hybridMultilevel"/>
    <w:tmpl w:val="773E0DB8"/>
    <w:lvl w:ilvl="0" w:tplc="96547BD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C8196C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C3495"/>
    <w:multiLevelType w:val="hybridMultilevel"/>
    <w:tmpl w:val="D83E5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F2C4F"/>
    <w:multiLevelType w:val="hybridMultilevel"/>
    <w:tmpl w:val="03AE6734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39FC316A"/>
    <w:multiLevelType w:val="hybridMultilevel"/>
    <w:tmpl w:val="4A54C78A"/>
    <w:lvl w:ilvl="0" w:tplc="1EB20AD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294"/>
    <w:multiLevelType w:val="hybridMultilevel"/>
    <w:tmpl w:val="5808A14A"/>
    <w:lvl w:ilvl="0" w:tplc="1E003D0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EE175B2"/>
    <w:multiLevelType w:val="hybridMultilevel"/>
    <w:tmpl w:val="B0E48C16"/>
    <w:lvl w:ilvl="0" w:tplc="855E029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34C03DC"/>
    <w:multiLevelType w:val="hybridMultilevel"/>
    <w:tmpl w:val="DCF07FA6"/>
    <w:lvl w:ilvl="0" w:tplc="1D0A5DD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5231AF1"/>
    <w:multiLevelType w:val="hybridMultilevel"/>
    <w:tmpl w:val="0DA0F2BE"/>
    <w:lvl w:ilvl="0" w:tplc="233E6A4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E9D2F38"/>
    <w:multiLevelType w:val="hybridMultilevel"/>
    <w:tmpl w:val="146A8EDA"/>
    <w:lvl w:ilvl="0" w:tplc="D6C625E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412C05"/>
    <w:multiLevelType w:val="hybridMultilevel"/>
    <w:tmpl w:val="DBF62A6A"/>
    <w:lvl w:ilvl="0" w:tplc="189A264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42E7E7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720"/>
    <w:multiLevelType w:val="hybridMultilevel"/>
    <w:tmpl w:val="636ECD86"/>
    <w:lvl w:ilvl="0" w:tplc="75825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390FA2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228CA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D2156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57330"/>
    <w:multiLevelType w:val="hybridMultilevel"/>
    <w:tmpl w:val="112ACB4C"/>
    <w:lvl w:ilvl="0" w:tplc="7E2A8DF2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0635"/>
    <w:multiLevelType w:val="hybridMultilevel"/>
    <w:tmpl w:val="AC64E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91691"/>
    <w:multiLevelType w:val="hybridMultilevel"/>
    <w:tmpl w:val="A39C27E0"/>
    <w:lvl w:ilvl="0" w:tplc="921E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4"/>
  </w:num>
  <w:num w:numId="5">
    <w:abstractNumId w:val="26"/>
  </w:num>
  <w:num w:numId="6">
    <w:abstractNumId w:val="9"/>
  </w:num>
  <w:num w:numId="7">
    <w:abstractNumId w:val="5"/>
  </w:num>
  <w:num w:numId="8">
    <w:abstractNumId w:val="19"/>
  </w:num>
  <w:num w:numId="9">
    <w:abstractNumId w:val="2"/>
  </w:num>
  <w:num w:numId="10">
    <w:abstractNumId w:val="10"/>
  </w:num>
  <w:num w:numId="11">
    <w:abstractNumId w:val="7"/>
  </w:num>
  <w:num w:numId="12">
    <w:abstractNumId w:val="22"/>
  </w:num>
  <w:num w:numId="13">
    <w:abstractNumId w:val="1"/>
  </w:num>
  <w:num w:numId="14">
    <w:abstractNumId w:val="16"/>
  </w:num>
  <w:num w:numId="15">
    <w:abstractNumId w:val="0"/>
  </w:num>
  <w:num w:numId="16">
    <w:abstractNumId w:val="14"/>
  </w:num>
  <w:num w:numId="17">
    <w:abstractNumId w:val="21"/>
  </w:num>
  <w:num w:numId="18">
    <w:abstractNumId w:val="13"/>
  </w:num>
  <w:num w:numId="19">
    <w:abstractNumId w:val="18"/>
  </w:num>
  <w:num w:numId="20">
    <w:abstractNumId w:val="15"/>
  </w:num>
  <w:num w:numId="21">
    <w:abstractNumId w:val="17"/>
  </w:num>
  <w:num w:numId="22">
    <w:abstractNumId w:val="11"/>
  </w:num>
  <w:num w:numId="23">
    <w:abstractNumId w:val="6"/>
  </w:num>
  <w:num w:numId="24">
    <w:abstractNumId w:val="4"/>
  </w:num>
  <w:num w:numId="25">
    <w:abstractNumId w:val="25"/>
  </w:num>
  <w:num w:numId="26">
    <w:abstractNumId w:val="2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178A"/>
    <w:rsid w:val="00003445"/>
    <w:rsid w:val="00003B8D"/>
    <w:rsid w:val="00004B91"/>
    <w:rsid w:val="000062B5"/>
    <w:rsid w:val="0000671C"/>
    <w:rsid w:val="000067E8"/>
    <w:rsid w:val="0000705E"/>
    <w:rsid w:val="00007CCB"/>
    <w:rsid w:val="0001100F"/>
    <w:rsid w:val="00011C5B"/>
    <w:rsid w:val="000145F4"/>
    <w:rsid w:val="0001631F"/>
    <w:rsid w:val="000172F1"/>
    <w:rsid w:val="000214BD"/>
    <w:rsid w:val="00023350"/>
    <w:rsid w:val="00025B17"/>
    <w:rsid w:val="000264A4"/>
    <w:rsid w:val="00031506"/>
    <w:rsid w:val="000345CB"/>
    <w:rsid w:val="00035C48"/>
    <w:rsid w:val="00037710"/>
    <w:rsid w:val="0004017C"/>
    <w:rsid w:val="00042717"/>
    <w:rsid w:val="00042D46"/>
    <w:rsid w:val="000438F8"/>
    <w:rsid w:val="00044715"/>
    <w:rsid w:val="000449A6"/>
    <w:rsid w:val="00044E96"/>
    <w:rsid w:val="00046EFC"/>
    <w:rsid w:val="00050B5A"/>
    <w:rsid w:val="00050D63"/>
    <w:rsid w:val="00051C05"/>
    <w:rsid w:val="00052775"/>
    <w:rsid w:val="00052BD4"/>
    <w:rsid w:val="00053608"/>
    <w:rsid w:val="00054F67"/>
    <w:rsid w:val="00055AE1"/>
    <w:rsid w:val="000600E2"/>
    <w:rsid w:val="0006316E"/>
    <w:rsid w:val="000669C1"/>
    <w:rsid w:val="00070457"/>
    <w:rsid w:val="000716B5"/>
    <w:rsid w:val="00072547"/>
    <w:rsid w:val="0007419D"/>
    <w:rsid w:val="00074DAE"/>
    <w:rsid w:val="0007529B"/>
    <w:rsid w:val="00076542"/>
    <w:rsid w:val="00076C0F"/>
    <w:rsid w:val="000777C1"/>
    <w:rsid w:val="00082CF4"/>
    <w:rsid w:val="00083DB8"/>
    <w:rsid w:val="000841CF"/>
    <w:rsid w:val="00084A61"/>
    <w:rsid w:val="00084B0D"/>
    <w:rsid w:val="00085A32"/>
    <w:rsid w:val="00087206"/>
    <w:rsid w:val="00087DD6"/>
    <w:rsid w:val="00095029"/>
    <w:rsid w:val="0009669F"/>
    <w:rsid w:val="00096A4D"/>
    <w:rsid w:val="000A32F0"/>
    <w:rsid w:val="000A36CF"/>
    <w:rsid w:val="000A4B22"/>
    <w:rsid w:val="000A78CB"/>
    <w:rsid w:val="000B2720"/>
    <w:rsid w:val="000B32CA"/>
    <w:rsid w:val="000B4895"/>
    <w:rsid w:val="000B5576"/>
    <w:rsid w:val="000B7338"/>
    <w:rsid w:val="000B7600"/>
    <w:rsid w:val="000C0557"/>
    <w:rsid w:val="000C057B"/>
    <w:rsid w:val="000C0737"/>
    <w:rsid w:val="000C48D1"/>
    <w:rsid w:val="000C4C16"/>
    <w:rsid w:val="000C6136"/>
    <w:rsid w:val="000D03B6"/>
    <w:rsid w:val="000D314F"/>
    <w:rsid w:val="000D3233"/>
    <w:rsid w:val="000D4D10"/>
    <w:rsid w:val="000D773B"/>
    <w:rsid w:val="000E0213"/>
    <w:rsid w:val="000E06BA"/>
    <w:rsid w:val="000E08CA"/>
    <w:rsid w:val="000E29FA"/>
    <w:rsid w:val="000E4150"/>
    <w:rsid w:val="000E463B"/>
    <w:rsid w:val="000E4E9F"/>
    <w:rsid w:val="000E6BE8"/>
    <w:rsid w:val="000E6D3C"/>
    <w:rsid w:val="000E6EAC"/>
    <w:rsid w:val="000F0A98"/>
    <w:rsid w:val="000F21E4"/>
    <w:rsid w:val="000F33A8"/>
    <w:rsid w:val="000F38DA"/>
    <w:rsid w:val="000F3BF6"/>
    <w:rsid w:val="000F413D"/>
    <w:rsid w:val="000F57B8"/>
    <w:rsid w:val="000F73B1"/>
    <w:rsid w:val="001023EE"/>
    <w:rsid w:val="00105124"/>
    <w:rsid w:val="001075FC"/>
    <w:rsid w:val="00107C55"/>
    <w:rsid w:val="0011227D"/>
    <w:rsid w:val="001148A6"/>
    <w:rsid w:val="00114FCD"/>
    <w:rsid w:val="0011520E"/>
    <w:rsid w:val="00116778"/>
    <w:rsid w:val="00116A09"/>
    <w:rsid w:val="0012074D"/>
    <w:rsid w:val="00123777"/>
    <w:rsid w:val="00125892"/>
    <w:rsid w:val="001300D9"/>
    <w:rsid w:val="0013164E"/>
    <w:rsid w:val="00134E1C"/>
    <w:rsid w:val="00135006"/>
    <w:rsid w:val="001377BB"/>
    <w:rsid w:val="00141847"/>
    <w:rsid w:val="00141C5A"/>
    <w:rsid w:val="00142403"/>
    <w:rsid w:val="00142D74"/>
    <w:rsid w:val="00143008"/>
    <w:rsid w:val="0015038A"/>
    <w:rsid w:val="00150FA9"/>
    <w:rsid w:val="00151AC2"/>
    <w:rsid w:val="0015214D"/>
    <w:rsid w:val="001523DE"/>
    <w:rsid w:val="0015294D"/>
    <w:rsid w:val="00156630"/>
    <w:rsid w:val="0016268C"/>
    <w:rsid w:val="001630A0"/>
    <w:rsid w:val="001637A2"/>
    <w:rsid w:val="00164118"/>
    <w:rsid w:val="001642D0"/>
    <w:rsid w:val="00165466"/>
    <w:rsid w:val="00171E87"/>
    <w:rsid w:val="00173746"/>
    <w:rsid w:val="00175F9B"/>
    <w:rsid w:val="00177371"/>
    <w:rsid w:val="00183567"/>
    <w:rsid w:val="001861FF"/>
    <w:rsid w:val="00191313"/>
    <w:rsid w:val="001943A9"/>
    <w:rsid w:val="001948EA"/>
    <w:rsid w:val="00195B2F"/>
    <w:rsid w:val="00196E51"/>
    <w:rsid w:val="001A0FDA"/>
    <w:rsid w:val="001A1E55"/>
    <w:rsid w:val="001A1F05"/>
    <w:rsid w:val="001A2B63"/>
    <w:rsid w:val="001A36C7"/>
    <w:rsid w:val="001A4620"/>
    <w:rsid w:val="001A4F3C"/>
    <w:rsid w:val="001A5838"/>
    <w:rsid w:val="001A7187"/>
    <w:rsid w:val="001A72F7"/>
    <w:rsid w:val="001A7870"/>
    <w:rsid w:val="001B00C4"/>
    <w:rsid w:val="001B12EF"/>
    <w:rsid w:val="001B1FEB"/>
    <w:rsid w:val="001B365A"/>
    <w:rsid w:val="001B5388"/>
    <w:rsid w:val="001B64B0"/>
    <w:rsid w:val="001B6A91"/>
    <w:rsid w:val="001C004A"/>
    <w:rsid w:val="001C1042"/>
    <w:rsid w:val="001C1641"/>
    <w:rsid w:val="001C1687"/>
    <w:rsid w:val="001C4A88"/>
    <w:rsid w:val="001C611A"/>
    <w:rsid w:val="001C67EF"/>
    <w:rsid w:val="001D159B"/>
    <w:rsid w:val="001D1B0E"/>
    <w:rsid w:val="001D298E"/>
    <w:rsid w:val="001D33F6"/>
    <w:rsid w:val="001D39F5"/>
    <w:rsid w:val="001D4D09"/>
    <w:rsid w:val="001D66B5"/>
    <w:rsid w:val="001D6B6A"/>
    <w:rsid w:val="001D6EA9"/>
    <w:rsid w:val="001D7A69"/>
    <w:rsid w:val="001E30A5"/>
    <w:rsid w:val="001E5B47"/>
    <w:rsid w:val="001E652D"/>
    <w:rsid w:val="001F1014"/>
    <w:rsid w:val="001F1B6A"/>
    <w:rsid w:val="001F29D1"/>
    <w:rsid w:val="001F55AB"/>
    <w:rsid w:val="001F695B"/>
    <w:rsid w:val="00201184"/>
    <w:rsid w:val="00201694"/>
    <w:rsid w:val="00201E8A"/>
    <w:rsid w:val="00204275"/>
    <w:rsid w:val="002042A0"/>
    <w:rsid w:val="002044AF"/>
    <w:rsid w:val="00206B4E"/>
    <w:rsid w:val="002073E3"/>
    <w:rsid w:val="002077A1"/>
    <w:rsid w:val="00211AED"/>
    <w:rsid w:val="002130CE"/>
    <w:rsid w:val="00213A43"/>
    <w:rsid w:val="00214203"/>
    <w:rsid w:val="002160D4"/>
    <w:rsid w:val="0021612F"/>
    <w:rsid w:val="002210DB"/>
    <w:rsid w:val="002217C8"/>
    <w:rsid w:val="00222186"/>
    <w:rsid w:val="00223AA6"/>
    <w:rsid w:val="00223CB4"/>
    <w:rsid w:val="00224716"/>
    <w:rsid w:val="0022556F"/>
    <w:rsid w:val="00225DB0"/>
    <w:rsid w:val="002269FB"/>
    <w:rsid w:val="002311A4"/>
    <w:rsid w:val="002321CD"/>
    <w:rsid w:val="0023276C"/>
    <w:rsid w:val="00232C1C"/>
    <w:rsid w:val="0023394F"/>
    <w:rsid w:val="0024072C"/>
    <w:rsid w:val="00240C86"/>
    <w:rsid w:val="00241ABA"/>
    <w:rsid w:val="00243B20"/>
    <w:rsid w:val="0026139F"/>
    <w:rsid w:val="002642F6"/>
    <w:rsid w:val="0026530B"/>
    <w:rsid w:val="0026610F"/>
    <w:rsid w:val="00266911"/>
    <w:rsid w:val="00267E42"/>
    <w:rsid w:val="002725B8"/>
    <w:rsid w:val="0027303B"/>
    <w:rsid w:val="0027522B"/>
    <w:rsid w:val="002778ED"/>
    <w:rsid w:val="002801EE"/>
    <w:rsid w:val="00280B02"/>
    <w:rsid w:val="00280B5A"/>
    <w:rsid w:val="00283154"/>
    <w:rsid w:val="00284C90"/>
    <w:rsid w:val="0028539D"/>
    <w:rsid w:val="00286B76"/>
    <w:rsid w:val="002927E8"/>
    <w:rsid w:val="00294ED7"/>
    <w:rsid w:val="002961D6"/>
    <w:rsid w:val="0029719A"/>
    <w:rsid w:val="002971B2"/>
    <w:rsid w:val="002A1DEE"/>
    <w:rsid w:val="002A1EA9"/>
    <w:rsid w:val="002A3221"/>
    <w:rsid w:val="002A502B"/>
    <w:rsid w:val="002A6227"/>
    <w:rsid w:val="002A7192"/>
    <w:rsid w:val="002B119A"/>
    <w:rsid w:val="002B4697"/>
    <w:rsid w:val="002B4799"/>
    <w:rsid w:val="002B48A6"/>
    <w:rsid w:val="002B53B5"/>
    <w:rsid w:val="002B6A9F"/>
    <w:rsid w:val="002B7447"/>
    <w:rsid w:val="002B7BB4"/>
    <w:rsid w:val="002C0DC2"/>
    <w:rsid w:val="002C1D75"/>
    <w:rsid w:val="002C240F"/>
    <w:rsid w:val="002C465A"/>
    <w:rsid w:val="002C68CC"/>
    <w:rsid w:val="002C7F6E"/>
    <w:rsid w:val="002D416E"/>
    <w:rsid w:val="002D60A4"/>
    <w:rsid w:val="002E0338"/>
    <w:rsid w:val="002E1926"/>
    <w:rsid w:val="002E253A"/>
    <w:rsid w:val="002E33BB"/>
    <w:rsid w:val="002E3567"/>
    <w:rsid w:val="002E37FA"/>
    <w:rsid w:val="002E496A"/>
    <w:rsid w:val="002E5A73"/>
    <w:rsid w:val="002E5E9C"/>
    <w:rsid w:val="002E5FE5"/>
    <w:rsid w:val="002E6DA4"/>
    <w:rsid w:val="002F0D62"/>
    <w:rsid w:val="002F2681"/>
    <w:rsid w:val="002F40AF"/>
    <w:rsid w:val="002F45AA"/>
    <w:rsid w:val="002F5305"/>
    <w:rsid w:val="002F5C46"/>
    <w:rsid w:val="00301E02"/>
    <w:rsid w:val="00302794"/>
    <w:rsid w:val="00304CD5"/>
    <w:rsid w:val="00306BFC"/>
    <w:rsid w:val="003119D2"/>
    <w:rsid w:val="00312526"/>
    <w:rsid w:val="00312643"/>
    <w:rsid w:val="00312DC2"/>
    <w:rsid w:val="00313D72"/>
    <w:rsid w:val="00313E1A"/>
    <w:rsid w:val="0031425C"/>
    <w:rsid w:val="0031677B"/>
    <w:rsid w:val="00317356"/>
    <w:rsid w:val="003203E7"/>
    <w:rsid w:val="00320814"/>
    <w:rsid w:val="0032131B"/>
    <w:rsid w:val="0032548F"/>
    <w:rsid w:val="00325B5C"/>
    <w:rsid w:val="003264A6"/>
    <w:rsid w:val="00330B66"/>
    <w:rsid w:val="00330C7A"/>
    <w:rsid w:val="00331A0D"/>
    <w:rsid w:val="00332692"/>
    <w:rsid w:val="00333D4A"/>
    <w:rsid w:val="00333FEF"/>
    <w:rsid w:val="00334022"/>
    <w:rsid w:val="00334041"/>
    <w:rsid w:val="003349CD"/>
    <w:rsid w:val="00334D89"/>
    <w:rsid w:val="003356BA"/>
    <w:rsid w:val="00335F90"/>
    <w:rsid w:val="00340640"/>
    <w:rsid w:val="003407CA"/>
    <w:rsid w:val="00340F98"/>
    <w:rsid w:val="00341D45"/>
    <w:rsid w:val="003433A8"/>
    <w:rsid w:val="0034516D"/>
    <w:rsid w:val="003463D3"/>
    <w:rsid w:val="003471D5"/>
    <w:rsid w:val="00347EA2"/>
    <w:rsid w:val="00351787"/>
    <w:rsid w:val="00353075"/>
    <w:rsid w:val="0035660D"/>
    <w:rsid w:val="00360A86"/>
    <w:rsid w:val="003622B5"/>
    <w:rsid w:val="00362C15"/>
    <w:rsid w:val="0036343C"/>
    <w:rsid w:val="003634AB"/>
    <w:rsid w:val="0037246A"/>
    <w:rsid w:val="003737A0"/>
    <w:rsid w:val="0037416F"/>
    <w:rsid w:val="00374369"/>
    <w:rsid w:val="00375D17"/>
    <w:rsid w:val="00375D52"/>
    <w:rsid w:val="00376762"/>
    <w:rsid w:val="00380709"/>
    <w:rsid w:val="00383F55"/>
    <w:rsid w:val="00384282"/>
    <w:rsid w:val="00384E42"/>
    <w:rsid w:val="00385F99"/>
    <w:rsid w:val="00387296"/>
    <w:rsid w:val="00390462"/>
    <w:rsid w:val="00391CA0"/>
    <w:rsid w:val="00393FC4"/>
    <w:rsid w:val="003A2310"/>
    <w:rsid w:val="003A3C77"/>
    <w:rsid w:val="003A445B"/>
    <w:rsid w:val="003A5BD8"/>
    <w:rsid w:val="003B0C21"/>
    <w:rsid w:val="003B31B6"/>
    <w:rsid w:val="003C0E62"/>
    <w:rsid w:val="003C12B8"/>
    <w:rsid w:val="003C223E"/>
    <w:rsid w:val="003C3BBD"/>
    <w:rsid w:val="003C3E2B"/>
    <w:rsid w:val="003C7CCC"/>
    <w:rsid w:val="003C7D49"/>
    <w:rsid w:val="003D4E12"/>
    <w:rsid w:val="003D680A"/>
    <w:rsid w:val="003D68C2"/>
    <w:rsid w:val="003E075C"/>
    <w:rsid w:val="003E214A"/>
    <w:rsid w:val="003E3D54"/>
    <w:rsid w:val="003E697F"/>
    <w:rsid w:val="003F0EA3"/>
    <w:rsid w:val="003F42FB"/>
    <w:rsid w:val="003F5453"/>
    <w:rsid w:val="003F6C32"/>
    <w:rsid w:val="003F6CD0"/>
    <w:rsid w:val="00401B1C"/>
    <w:rsid w:val="00403C22"/>
    <w:rsid w:val="00403CE4"/>
    <w:rsid w:val="00404D11"/>
    <w:rsid w:val="00404D3B"/>
    <w:rsid w:val="00405057"/>
    <w:rsid w:val="00405DA6"/>
    <w:rsid w:val="00407187"/>
    <w:rsid w:val="00411110"/>
    <w:rsid w:val="00411D1B"/>
    <w:rsid w:val="00411FE5"/>
    <w:rsid w:val="00413861"/>
    <w:rsid w:val="004144E9"/>
    <w:rsid w:val="00415949"/>
    <w:rsid w:val="00417A3F"/>
    <w:rsid w:val="0042392C"/>
    <w:rsid w:val="00423FFC"/>
    <w:rsid w:val="00425129"/>
    <w:rsid w:val="00425C45"/>
    <w:rsid w:val="00431995"/>
    <w:rsid w:val="00431EAF"/>
    <w:rsid w:val="004323C3"/>
    <w:rsid w:val="00434363"/>
    <w:rsid w:val="004349CD"/>
    <w:rsid w:val="00434AC2"/>
    <w:rsid w:val="004355B5"/>
    <w:rsid w:val="004355FE"/>
    <w:rsid w:val="00440C0B"/>
    <w:rsid w:val="00441A43"/>
    <w:rsid w:val="00441F4C"/>
    <w:rsid w:val="00445A99"/>
    <w:rsid w:val="0044617F"/>
    <w:rsid w:val="00452E3A"/>
    <w:rsid w:val="00457E2A"/>
    <w:rsid w:val="004609BC"/>
    <w:rsid w:val="00462F48"/>
    <w:rsid w:val="00463E59"/>
    <w:rsid w:val="00464981"/>
    <w:rsid w:val="004649E1"/>
    <w:rsid w:val="00472B66"/>
    <w:rsid w:val="0047308A"/>
    <w:rsid w:val="0047498E"/>
    <w:rsid w:val="00476369"/>
    <w:rsid w:val="00476C14"/>
    <w:rsid w:val="004824A5"/>
    <w:rsid w:val="0049025C"/>
    <w:rsid w:val="00490A7C"/>
    <w:rsid w:val="00491B88"/>
    <w:rsid w:val="0049219E"/>
    <w:rsid w:val="00492452"/>
    <w:rsid w:val="004925F4"/>
    <w:rsid w:val="004A01F0"/>
    <w:rsid w:val="004A07AE"/>
    <w:rsid w:val="004A1926"/>
    <w:rsid w:val="004A208A"/>
    <w:rsid w:val="004A4A4F"/>
    <w:rsid w:val="004A5CEB"/>
    <w:rsid w:val="004A5E44"/>
    <w:rsid w:val="004A7DA3"/>
    <w:rsid w:val="004B092D"/>
    <w:rsid w:val="004B1044"/>
    <w:rsid w:val="004B43A9"/>
    <w:rsid w:val="004B5B74"/>
    <w:rsid w:val="004B7938"/>
    <w:rsid w:val="004C509C"/>
    <w:rsid w:val="004C5149"/>
    <w:rsid w:val="004C59EB"/>
    <w:rsid w:val="004C7744"/>
    <w:rsid w:val="004D053E"/>
    <w:rsid w:val="004D07C6"/>
    <w:rsid w:val="004D10BA"/>
    <w:rsid w:val="004D61F7"/>
    <w:rsid w:val="004D62DE"/>
    <w:rsid w:val="004D7C24"/>
    <w:rsid w:val="004E2998"/>
    <w:rsid w:val="004E3147"/>
    <w:rsid w:val="004E4327"/>
    <w:rsid w:val="004E5DC6"/>
    <w:rsid w:val="004F306D"/>
    <w:rsid w:val="004F3201"/>
    <w:rsid w:val="004F3EBE"/>
    <w:rsid w:val="004F3F91"/>
    <w:rsid w:val="004F536D"/>
    <w:rsid w:val="00500A13"/>
    <w:rsid w:val="005021C7"/>
    <w:rsid w:val="00502A1D"/>
    <w:rsid w:val="005042A3"/>
    <w:rsid w:val="005066A4"/>
    <w:rsid w:val="0050691A"/>
    <w:rsid w:val="005125FC"/>
    <w:rsid w:val="00516A8A"/>
    <w:rsid w:val="0051779E"/>
    <w:rsid w:val="00517C49"/>
    <w:rsid w:val="00521792"/>
    <w:rsid w:val="00522134"/>
    <w:rsid w:val="005222E4"/>
    <w:rsid w:val="00522462"/>
    <w:rsid w:val="005228D5"/>
    <w:rsid w:val="00523FDE"/>
    <w:rsid w:val="00525548"/>
    <w:rsid w:val="00525620"/>
    <w:rsid w:val="00525B8A"/>
    <w:rsid w:val="00527CD9"/>
    <w:rsid w:val="005303DF"/>
    <w:rsid w:val="00530FCD"/>
    <w:rsid w:val="005324C5"/>
    <w:rsid w:val="005343A2"/>
    <w:rsid w:val="005348FA"/>
    <w:rsid w:val="00534D8B"/>
    <w:rsid w:val="005362B0"/>
    <w:rsid w:val="005363D6"/>
    <w:rsid w:val="0053768B"/>
    <w:rsid w:val="00542520"/>
    <w:rsid w:val="0054470A"/>
    <w:rsid w:val="00544E64"/>
    <w:rsid w:val="005509A3"/>
    <w:rsid w:val="00551B3E"/>
    <w:rsid w:val="00551C94"/>
    <w:rsid w:val="005522FC"/>
    <w:rsid w:val="00553F75"/>
    <w:rsid w:val="00554597"/>
    <w:rsid w:val="00554941"/>
    <w:rsid w:val="00554950"/>
    <w:rsid w:val="0055669E"/>
    <w:rsid w:val="00556C6B"/>
    <w:rsid w:val="00561DB0"/>
    <w:rsid w:val="00561FAC"/>
    <w:rsid w:val="00562BF6"/>
    <w:rsid w:val="00564BE5"/>
    <w:rsid w:val="005650B3"/>
    <w:rsid w:val="00565C4E"/>
    <w:rsid w:val="005664FF"/>
    <w:rsid w:val="005669D4"/>
    <w:rsid w:val="005704DB"/>
    <w:rsid w:val="00570787"/>
    <w:rsid w:val="00570982"/>
    <w:rsid w:val="005711C5"/>
    <w:rsid w:val="00571A81"/>
    <w:rsid w:val="00571BC8"/>
    <w:rsid w:val="00573B28"/>
    <w:rsid w:val="00580EDE"/>
    <w:rsid w:val="0058792D"/>
    <w:rsid w:val="00590883"/>
    <w:rsid w:val="00590961"/>
    <w:rsid w:val="00594AB9"/>
    <w:rsid w:val="005954CC"/>
    <w:rsid w:val="00595520"/>
    <w:rsid w:val="00596C89"/>
    <w:rsid w:val="005979AD"/>
    <w:rsid w:val="005A0BC0"/>
    <w:rsid w:val="005A0F44"/>
    <w:rsid w:val="005A1017"/>
    <w:rsid w:val="005A4105"/>
    <w:rsid w:val="005A4AD7"/>
    <w:rsid w:val="005A6C79"/>
    <w:rsid w:val="005A72BA"/>
    <w:rsid w:val="005A7A09"/>
    <w:rsid w:val="005B1543"/>
    <w:rsid w:val="005B5B13"/>
    <w:rsid w:val="005C13D6"/>
    <w:rsid w:val="005C3BC4"/>
    <w:rsid w:val="005C4B92"/>
    <w:rsid w:val="005C6048"/>
    <w:rsid w:val="005C63EA"/>
    <w:rsid w:val="005D0FA5"/>
    <w:rsid w:val="005D1A50"/>
    <w:rsid w:val="005D3BF5"/>
    <w:rsid w:val="005D410E"/>
    <w:rsid w:val="005D4AB9"/>
    <w:rsid w:val="005D4C5B"/>
    <w:rsid w:val="005D6637"/>
    <w:rsid w:val="005D7C25"/>
    <w:rsid w:val="005D7E7E"/>
    <w:rsid w:val="005E17E6"/>
    <w:rsid w:val="005E5ED6"/>
    <w:rsid w:val="005E68AC"/>
    <w:rsid w:val="005E6EEF"/>
    <w:rsid w:val="005F14D3"/>
    <w:rsid w:val="005F6EB4"/>
    <w:rsid w:val="006008E7"/>
    <w:rsid w:val="00600DE4"/>
    <w:rsid w:val="006018C9"/>
    <w:rsid w:val="0060230D"/>
    <w:rsid w:val="00603DC3"/>
    <w:rsid w:val="00604B03"/>
    <w:rsid w:val="00605FAF"/>
    <w:rsid w:val="00607853"/>
    <w:rsid w:val="00612C48"/>
    <w:rsid w:val="0061332A"/>
    <w:rsid w:val="006154DE"/>
    <w:rsid w:val="0062079F"/>
    <w:rsid w:val="00624341"/>
    <w:rsid w:val="00626769"/>
    <w:rsid w:val="00630D72"/>
    <w:rsid w:val="006359AD"/>
    <w:rsid w:val="00637B61"/>
    <w:rsid w:val="00640287"/>
    <w:rsid w:val="0064281B"/>
    <w:rsid w:val="00646118"/>
    <w:rsid w:val="00647251"/>
    <w:rsid w:val="00650A0A"/>
    <w:rsid w:val="006532A9"/>
    <w:rsid w:val="00653A22"/>
    <w:rsid w:val="00654436"/>
    <w:rsid w:val="00654F09"/>
    <w:rsid w:val="00655DF6"/>
    <w:rsid w:val="00656674"/>
    <w:rsid w:val="006601FD"/>
    <w:rsid w:val="00671D85"/>
    <w:rsid w:val="0067303D"/>
    <w:rsid w:val="00673B52"/>
    <w:rsid w:val="006740EB"/>
    <w:rsid w:val="00674E42"/>
    <w:rsid w:val="00676275"/>
    <w:rsid w:val="006766FB"/>
    <w:rsid w:val="00680ACF"/>
    <w:rsid w:val="0068303C"/>
    <w:rsid w:val="006831EC"/>
    <w:rsid w:val="006844D4"/>
    <w:rsid w:val="006863AE"/>
    <w:rsid w:val="00687185"/>
    <w:rsid w:val="00690AD9"/>
    <w:rsid w:val="00692EC0"/>
    <w:rsid w:val="00693002"/>
    <w:rsid w:val="00693ADA"/>
    <w:rsid w:val="00693FF8"/>
    <w:rsid w:val="00695503"/>
    <w:rsid w:val="006A09CF"/>
    <w:rsid w:val="006A0B13"/>
    <w:rsid w:val="006A1083"/>
    <w:rsid w:val="006A4D25"/>
    <w:rsid w:val="006A62DB"/>
    <w:rsid w:val="006A7C3A"/>
    <w:rsid w:val="006B02B2"/>
    <w:rsid w:val="006B402C"/>
    <w:rsid w:val="006B4652"/>
    <w:rsid w:val="006B55EC"/>
    <w:rsid w:val="006C1E42"/>
    <w:rsid w:val="006C3090"/>
    <w:rsid w:val="006C329E"/>
    <w:rsid w:val="006C32F5"/>
    <w:rsid w:val="006C62A9"/>
    <w:rsid w:val="006C7BEA"/>
    <w:rsid w:val="006D0725"/>
    <w:rsid w:val="006D3B9E"/>
    <w:rsid w:val="006D76EB"/>
    <w:rsid w:val="006E2AED"/>
    <w:rsid w:val="006E2DB4"/>
    <w:rsid w:val="006E37A3"/>
    <w:rsid w:val="006E3DDA"/>
    <w:rsid w:val="006E5FAC"/>
    <w:rsid w:val="006F0CEA"/>
    <w:rsid w:val="006F12F3"/>
    <w:rsid w:val="006F1C8D"/>
    <w:rsid w:val="006F1E39"/>
    <w:rsid w:val="006F20AA"/>
    <w:rsid w:val="006F257F"/>
    <w:rsid w:val="006F2AD7"/>
    <w:rsid w:val="006F3244"/>
    <w:rsid w:val="006F6CA5"/>
    <w:rsid w:val="006F75A2"/>
    <w:rsid w:val="0070145A"/>
    <w:rsid w:val="007024FD"/>
    <w:rsid w:val="00703925"/>
    <w:rsid w:val="00704E7C"/>
    <w:rsid w:val="00705886"/>
    <w:rsid w:val="0070655F"/>
    <w:rsid w:val="0071040B"/>
    <w:rsid w:val="00711F35"/>
    <w:rsid w:val="00713373"/>
    <w:rsid w:val="00717CE2"/>
    <w:rsid w:val="0072090B"/>
    <w:rsid w:val="0072229D"/>
    <w:rsid w:val="0072279C"/>
    <w:rsid w:val="007231DA"/>
    <w:rsid w:val="0072523E"/>
    <w:rsid w:val="007264BC"/>
    <w:rsid w:val="00730468"/>
    <w:rsid w:val="00733992"/>
    <w:rsid w:val="007340A0"/>
    <w:rsid w:val="00735D1D"/>
    <w:rsid w:val="0074004F"/>
    <w:rsid w:val="007416C7"/>
    <w:rsid w:val="00741B75"/>
    <w:rsid w:val="007462EA"/>
    <w:rsid w:val="00746BAF"/>
    <w:rsid w:val="00750018"/>
    <w:rsid w:val="007513B1"/>
    <w:rsid w:val="00751821"/>
    <w:rsid w:val="00752954"/>
    <w:rsid w:val="007530EC"/>
    <w:rsid w:val="00753F8F"/>
    <w:rsid w:val="00761147"/>
    <w:rsid w:val="0076532E"/>
    <w:rsid w:val="0077202D"/>
    <w:rsid w:val="007725B1"/>
    <w:rsid w:val="0077359D"/>
    <w:rsid w:val="00773A27"/>
    <w:rsid w:val="00773E41"/>
    <w:rsid w:val="00773EDE"/>
    <w:rsid w:val="00774AE3"/>
    <w:rsid w:val="00775691"/>
    <w:rsid w:val="00776CAA"/>
    <w:rsid w:val="00783DC2"/>
    <w:rsid w:val="00785165"/>
    <w:rsid w:val="00786B3D"/>
    <w:rsid w:val="00787B91"/>
    <w:rsid w:val="0079140E"/>
    <w:rsid w:val="00791531"/>
    <w:rsid w:val="00791AF5"/>
    <w:rsid w:val="00792C59"/>
    <w:rsid w:val="007A03D2"/>
    <w:rsid w:val="007A161F"/>
    <w:rsid w:val="007A1861"/>
    <w:rsid w:val="007A1E64"/>
    <w:rsid w:val="007A2729"/>
    <w:rsid w:val="007A297E"/>
    <w:rsid w:val="007A3892"/>
    <w:rsid w:val="007A3D30"/>
    <w:rsid w:val="007A5059"/>
    <w:rsid w:val="007A5798"/>
    <w:rsid w:val="007A6503"/>
    <w:rsid w:val="007A77D0"/>
    <w:rsid w:val="007A7DFF"/>
    <w:rsid w:val="007B060C"/>
    <w:rsid w:val="007B13D4"/>
    <w:rsid w:val="007B1800"/>
    <w:rsid w:val="007B32E7"/>
    <w:rsid w:val="007B3D64"/>
    <w:rsid w:val="007B64E9"/>
    <w:rsid w:val="007B6ED2"/>
    <w:rsid w:val="007C01E5"/>
    <w:rsid w:val="007C20D6"/>
    <w:rsid w:val="007C3615"/>
    <w:rsid w:val="007C4E2A"/>
    <w:rsid w:val="007C584A"/>
    <w:rsid w:val="007C6059"/>
    <w:rsid w:val="007C76EE"/>
    <w:rsid w:val="007C789F"/>
    <w:rsid w:val="007D1162"/>
    <w:rsid w:val="007D27A0"/>
    <w:rsid w:val="007D4251"/>
    <w:rsid w:val="007E1580"/>
    <w:rsid w:val="007F2511"/>
    <w:rsid w:val="007F4138"/>
    <w:rsid w:val="007F5046"/>
    <w:rsid w:val="007F7085"/>
    <w:rsid w:val="007F7AB9"/>
    <w:rsid w:val="007F7C9E"/>
    <w:rsid w:val="00803668"/>
    <w:rsid w:val="008068A0"/>
    <w:rsid w:val="00807944"/>
    <w:rsid w:val="008106AD"/>
    <w:rsid w:val="00810D50"/>
    <w:rsid w:val="0081212B"/>
    <w:rsid w:val="00812B24"/>
    <w:rsid w:val="0081487D"/>
    <w:rsid w:val="00814C72"/>
    <w:rsid w:val="008168BC"/>
    <w:rsid w:val="00820525"/>
    <w:rsid w:val="0082175F"/>
    <w:rsid w:val="00822C09"/>
    <w:rsid w:val="00830534"/>
    <w:rsid w:val="0083086D"/>
    <w:rsid w:val="008314D7"/>
    <w:rsid w:val="0083252A"/>
    <w:rsid w:val="008330FF"/>
    <w:rsid w:val="008354D9"/>
    <w:rsid w:val="00835C51"/>
    <w:rsid w:val="00841BDC"/>
    <w:rsid w:val="00841F81"/>
    <w:rsid w:val="00842B2F"/>
    <w:rsid w:val="00843216"/>
    <w:rsid w:val="008436DF"/>
    <w:rsid w:val="00844027"/>
    <w:rsid w:val="00845BF6"/>
    <w:rsid w:val="00850E45"/>
    <w:rsid w:val="008520F3"/>
    <w:rsid w:val="008530CF"/>
    <w:rsid w:val="00856F0F"/>
    <w:rsid w:val="00857A6E"/>
    <w:rsid w:val="00857F4F"/>
    <w:rsid w:val="008610D3"/>
    <w:rsid w:val="0086135B"/>
    <w:rsid w:val="00862693"/>
    <w:rsid w:val="00865F89"/>
    <w:rsid w:val="008660D7"/>
    <w:rsid w:val="0086673C"/>
    <w:rsid w:val="008700CC"/>
    <w:rsid w:val="00872722"/>
    <w:rsid w:val="00874136"/>
    <w:rsid w:val="00877A67"/>
    <w:rsid w:val="008801AE"/>
    <w:rsid w:val="00880D9B"/>
    <w:rsid w:val="00881151"/>
    <w:rsid w:val="008846BC"/>
    <w:rsid w:val="00885376"/>
    <w:rsid w:val="008874E9"/>
    <w:rsid w:val="0089118B"/>
    <w:rsid w:val="00891F2A"/>
    <w:rsid w:val="008953D2"/>
    <w:rsid w:val="008A0A80"/>
    <w:rsid w:val="008A1260"/>
    <w:rsid w:val="008A3550"/>
    <w:rsid w:val="008A3C30"/>
    <w:rsid w:val="008A3C3B"/>
    <w:rsid w:val="008A5C1E"/>
    <w:rsid w:val="008A6822"/>
    <w:rsid w:val="008A70D4"/>
    <w:rsid w:val="008B10EC"/>
    <w:rsid w:val="008B2096"/>
    <w:rsid w:val="008B226B"/>
    <w:rsid w:val="008B25F9"/>
    <w:rsid w:val="008B49CB"/>
    <w:rsid w:val="008B4CBA"/>
    <w:rsid w:val="008B6127"/>
    <w:rsid w:val="008C16A1"/>
    <w:rsid w:val="008C1FF7"/>
    <w:rsid w:val="008C2971"/>
    <w:rsid w:val="008C48E9"/>
    <w:rsid w:val="008C6107"/>
    <w:rsid w:val="008C62FB"/>
    <w:rsid w:val="008C662B"/>
    <w:rsid w:val="008C7B13"/>
    <w:rsid w:val="008D0245"/>
    <w:rsid w:val="008D1328"/>
    <w:rsid w:val="008D48EB"/>
    <w:rsid w:val="008D49EA"/>
    <w:rsid w:val="008D4F7A"/>
    <w:rsid w:val="008D7BA8"/>
    <w:rsid w:val="008E0288"/>
    <w:rsid w:val="008E05E5"/>
    <w:rsid w:val="008E1B9F"/>
    <w:rsid w:val="008E2A71"/>
    <w:rsid w:val="008E51CF"/>
    <w:rsid w:val="008F18EB"/>
    <w:rsid w:val="008F2CD9"/>
    <w:rsid w:val="008F550C"/>
    <w:rsid w:val="008F5BB4"/>
    <w:rsid w:val="008F6C74"/>
    <w:rsid w:val="008F748D"/>
    <w:rsid w:val="008F7F3C"/>
    <w:rsid w:val="0090101D"/>
    <w:rsid w:val="00901EFA"/>
    <w:rsid w:val="00903F8E"/>
    <w:rsid w:val="00904551"/>
    <w:rsid w:val="00905CF2"/>
    <w:rsid w:val="00906B37"/>
    <w:rsid w:val="009106FA"/>
    <w:rsid w:val="00913637"/>
    <w:rsid w:val="009154BB"/>
    <w:rsid w:val="00917801"/>
    <w:rsid w:val="009179AC"/>
    <w:rsid w:val="009222A4"/>
    <w:rsid w:val="00923D9A"/>
    <w:rsid w:val="00923F8F"/>
    <w:rsid w:val="009250EB"/>
    <w:rsid w:val="009256B0"/>
    <w:rsid w:val="009308BF"/>
    <w:rsid w:val="00931508"/>
    <w:rsid w:val="00932E7D"/>
    <w:rsid w:val="00934625"/>
    <w:rsid w:val="00934B41"/>
    <w:rsid w:val="00935769"/>
    <w:rsid w:val="00935C97"/>
    <w:rsid w:val="009406B1"/>
    <w:rsid w:val="009407BB"/>
    <w:rsid w:val="00940D89"/>
    <w:rsid w:val="009439A0"/>
    <w:rsid w:val="00945025"/>
    <w:rsid w:val="00947343"/>
    <w:rsid w:val="00947DB9"/>
    <w:rsid w:val="00947E15"/>
    <w:rsid w:val="00950D78"/>
    <w:rsid w:val="009519F0"/>
    <w:rsid w:val="009533B4"/>
    <w:rsid w:val="00953483"/>
    <w:rsid w:val="00954741"/>
    <w:rsid w:val="0095509C"/>
    <w:rsid w:val="00956638"/>
    <w:rsid w:val="00957AAD"/>
    <w:rsid w:val="009608C0"/>
    <w:rsid w:val="00961302"/>
    <w:rsid w:val="00961761"/>
    <w:rsid w:val="0096178E"/>
    <w:rsid w:val="0096237F"/>
    <w:rsid w:val="009637EE"/>
    <w:rsid w:val="0096431C"/>
    <w:rsid w:val="00966EC2"/>
    <w:rsid w:val="009701A9"/>
    <w:rsid w:val="00970716"/>
    <w:rsid w:val="00970CD4"/>
    <w:rsid w:val="00973858"/>
    <w:rsid w:val="00973DBE"/>
    <w:rsid w:val="00974A6C"/>
    <w:rsid w:val="00974C82"/>
    <w:rsid w:val="009752DF"/>
    <w:rsid w:val="00976AEC"/>
    <w:rsid w:val="00977DA2"/>
    <w:rsid w:val="009807F1"/>
    <w:rsid w:val="009810D7"/>
    <w:rsid w:val="00981406"/>
    <w:rsid w:val="009822EE"/>
    <w:rsid w:val="00984BAD"/>
    <w:rsid w:val="00984D70"/>
    <w:rsid w:val="00986B16"/>
    <w:rsid w:val="00987B3D"/>
    <w:rsid w:val="00987C7D"/>
    <w:rsid w:val="00991E8B"/>
    <w:rsid w:val="00995075"/>
    <w:rsid w:val="009A3E23"/>
    <w:rsid w:val="009A4DCF"/>
    <w:rsid w:val="009A5B2B"/>
    <w:rsid w:val="009B0154"/>
    <w:rsid w:val="009B42C7"/>
    <w:rsid w:val="009B7990"/>
    <w:rsid w:val="009C01A5"/>
    <w:rsid w:val="009C274A"/>
    <w:rsid w:val="009C3656"/>
    <w:rsid w:val="009C3D9D"/>
    <w:rsid w:val="009C6D9B"/>
    <w:rsid w:val="009C7201"/>
    <w:rsid w:val="009C75F8"/>
    <w:rsid w:val="009D019A"/>
    <w:rsid w:val="009D04B7"/>
    <w:rsid w:val="009D0B92"/>
    <w:rsid w:val="009D0BEE"/>
    <w:rsid w:val="009D2200"/>
    <w:rsid w:val="009D2781"/>
    <w:rsid w:val="009D5516"/>
    <w:rsid w:val="009D5CD5"/>
    <w:rsid w:val="009D659D"/>
    <w:rsid w:val="009E3EA4"/>
    <w:rsid w:val="009E6E6D"/>
    <w:rsid w:val="009F09FE"/>
    <w:rsid w:val="009F1382"/>
    <w:rsid w:val="009F28B0"/>
    <w:rsid w:val="009F39F1"/>
    <w:rsid w:val="009F4DFD"/>
    <w:rsid w:val="009F5099"/>
    <w:rsid w:val="009F6857"/>
    <w:rsid w:val="00A007D7"/>
    <w:rsid w:val="00A0100F"/>
    <w:rsid w:val="00A064A5"/>
    <w:rsid w:val="00A07F8F"/>
    <w:rsid w:val="00A1251A"/>
    <w:rsid w:val="00A13839"/>
    <w:rsid w:val="00A20A16"/>
    <w:rsid w:val="00A20B14"/>
    <w:rsid w:val="00A2135D"/>
    <w:rsid w:val="00A21B1C"/>
    <w:rsid w:val="00A22136"/>
    <w:rsid w:val="00A245DE"/>
    <w:rsid w:val="00A3142A"/>
    <w:rsid w:val="00A31E8A"/>
    <w:rsid w:val="00A35798"/>
    <w:rsid w:val="00A40D3E"/>
    <w:rsid w:val="00A41C7B"/>
    <w:rsid w:val="00A42F1E"/>
    <w:rsid w:val="00A43270"/>
    <w:rsid w:val="00A44F32"/>
    <w:rsid w:val="00A463B0"/>
    <w:rsid w:val="00A465E5"/>
    <w:rsid w:val="00A51F26"/>
    <w:rsid w:val="00A552C7"/>
    <w:rsid w:val="00A55849"/>
    <w:rsid w:val="00A5601F"/>
    <w:rsid w:val="00A56635"/>
    <w:rsid w:val="00A61886"/>
    <w:rsid w:val="00A62E2D"/>
    <w:rsid w:val="00A67FBA"/>
    <w:rsid w:val="00A715B4"/>
    <w:rsid w:val="00A71CD9"/>
    <w:rsid w:val="00A75476"/>
    <w:rsid w:val="00A80E6F"/>
    <w:rsid w:val="00A84FBF"/>
    <w:rsid w:val="00A8570F"/>
    <w:rsid w:val="00A90618"/>
    <w:rsid w:val="00A9083C"/>
    <w:rsid w:val="00A90CCD"/>
    <w:rsid w:val="00A925DB"/>
    <w:rsid w:val="00A93669"/>
    <w:rsid w:val="00A9576B"/>
    <w:rsid w:val="00AA018B"/>
    <w:rsid w:val="00AA0CFB"/>
    <w:rsid w:val="00AA11C1"/>
    <w:rsid w:val="00AA2BE3"/>
    <w:rsid w:val="00AA3E05"/>
    <w:rsid w:val="00AB4934"/>
    <w:rsid w:val="00AB649E"/>
    <w:rsid w:val="00AC1FBD"/>
    <w:rsid w:val="00AC3AEF"/>
    <w:rsid w:val="00AC3C3A"/>
    <w:rsid w:val="00AC44F5"/>
    <w:rsid w:val="00AC4D26"/>
    <w:rsid w:val="00AC5642"/>
    <w:rsid w:val="00AD4B11"/>
    <w:rsid w:val="00AD5829"/>
    <w:rsid w:val="00AD5ED6"/>
    <w:rsid w:val="00AE0C32"/>
    <w:rsid w:val="00AE21AB"/>
    <w:rsid w:val="00AE34F4"/>
    <w:rsid w:val="00AE4474"/>
    <w:rsid w:val="00AE7190"/>
    <w:rsid w:val="00AE7769"/>
    <w:rsid w:val="00AF372E"/>
    <w:rsid w:val="00AF3AA1"/>
    <w:rsid w:val="00AF3ED6"/>
    <w:rsid w:val="00AF3F30"/>
    <w:rsid w:val="00AF5A77"/>
    <w:rsid w:val="00AF6C73"/>
    <w:rsid w:val="00AF76C0"/>
    <w:rsid w:val="00AF7FA7"/>
    <w:rsid w:val="00B007DF"/>
    <w:rsid w:val="00B025C0"/>
    <w:rsid w:val="00B03738"/>
    <w:rsid w:val="00B05FC5"/>
    <w:rsid w:val="00B07DDF"/>
    <w:rsid w:val="00B10325"/>
    <w:rsid w:val="00B11363"/>
    <w:rsid w:val="00B11768"/>
    <w:rsid w:val="00B11BDA"/>
    <w:rsid w:val="00B11CF2"/>
    <w:rsid w:val="00B129C6"/>
    <w:rsid w:val="00B135CA"/>
    <w:rsid w:val="00B15DCB"/>
    <w:rsid w:val="00B213C9"/>
    <w:rsid w:val="00B21D79"/>
    <w:rsid w:val="00B220F7"/>
    <w:rsid w:val="00B27753"/>
    <w:rsid w:val="00B35398"/>
    <w:rsid w:val="00B4023E"/>
    <w:rsid w:val="00B43600"/>
    <w:rsid w:val="00B45526"/>
    <w:rsid w:val="00B46AC7"/>
    <w:rsid w:val="00B51B06"/>
    <w:rsid w:val="00B537CD"/>
    <w:rsid w:val="00B544D0"/>
    <w:rsid w:val="00B550A6"/>
    <w:rsid w:val="00B55C59"/>
    <w:rsid w:val="00B5654B"/>
    <w:rsid w:val="00B56A7D"/>
    <w:rsid w:val="00B56AAD"/>
    <w:rsid w:val="00B62E4C"/>
    <w:rsid w:val="00B630D8"/>
    <w:rsid w:val="00B64273"/>
    <w:rsid w:val="00B64CD6"/>
    <w:rsid w:val="00B66722"/>
    <w:rsid w:val="00B66E90"/>
    <w:rsid w:val="00B70465"/>
    <w:rsid w:val="00B7136B"/>
    <w:rsid w:val="00B7208F"/>
    <w:rsid w:val="00B72F54"/>
    <w:rsid w:val="00B819CF"/>
    <w:rsid w:val="00B81DD6"/>
    <w:rsid w:val="00B93A70"/>
    <w:rsid w:val="00B94586"/>
    <w:rsid w:val="00B94B20"/>
    <w:rsid w:val="00B94B5D"/>
    <w:rsid w:val="00B94D8E"/>
    <w:rsid w:val="00B951C0"/>
    <w:rsid w:val="00B958F7"/>
    <w:rsid w:val="00B9706E"/>
    <w:rsid w:val="00B97612"/>
    <w:rsid w:val="00BA089E"/>
    <w:rsid w:val="00BA24E4"/>
    <w:rsid w:val="00BA2B9F"/>
    <w:rsid w:val="00BA3BB7"/>
    <w:rsid w:val="00BA55CA"/>
    <w:rsid w:val="00BA6125"/>
    <w:rsid w:val="00BA695B"/>
    <w:rsid w:val="00BB1778"/>
    <w:rsid w:val="00BB43E0"/>
    <w:rsid w:val="00BC2F91"/>
    <w:rsid w:val="00BC431C"/>
    <w:rsid w:val="00BC4584"/>
    <w:rsid w:val="00BC665A"/>
    <w:rsid w:val="00BC6FFE"/>
    <w:rsid w:val="00BC7656"/>
    <w:rsid w:val="00BD16B3"/>
    <w:rsid w:val="00BD2B90"/>
    <w:rsid w:val="00BD4203"/>
    <w:rsid w:val="00BD7AEC"/>
    <w:rsid w:val="00BE0173"/>
    <w:rsid w:val="00BE0B74"/>
    <w:rsid w:val="00BE0C8B"/>
    <w:rsid w:val="00BE1FF4"/>
    <w:rsid w:val="00BE7330"/>
    <w:rsid w:val="00BE7332"/>
    <w:rsid w:val="00BE7A26"/>
    <w:rsid w:val="00BF19A5"/>
    <w:rsid w:val="00BF3292"/>
    <w:rsid w:val="00BF5A05"/>
    <w:rsid w:val="00BF6936"/>
    <w:rsid w:val="00BF6C57"/>
    <w:rsid w:val="00BF72C2"/>
    <w:rsid w:val="00C00260"/>
    <w:rsid w:val="00C02061"/>
    <w:rsid w:val="00C041FA"/>
    <w:rsid w:val="00C051B5"/>
    <w:rsid w:val="00C075F9"/>
    <w:rsid w:val="00C11880"/>
    <w:rsid w:val="00C126ED"/>
    <w:rsid w:val="00C135D0"/>
    <w:rsid w:val="00C16448"/>
    <w:rsid w:val="00C17611"/>
    <w:rsid w:val="00C203FA"/>
    <w:rsid w:val="00C22989"/>
    <w:rsid w:val="00C22BB1"/>
    <w:rsid w:val="00C253C4"/>
    <w:rsid w:val="00C27AD5"/>
    <w:rsid w:val="00C304E8"/>
    <w:rsid w:val="00C319DA"/>
    <w:rsid w:val="00C331D6"/>
    <w:rsid w:val="00C402AC"/>
    <w:rsid w:val="00C4066E"/>
    <w:rsid w:val="00C40906"/>
    <w:rsid w:val="00C41276"/>
    <w:rsid w:val="00C429F1"/>
    <w:rsid w:val="00C4518D"/>
    <w:rsid w:val="00C46587"/>
    <w:rsid w:val="00C4712C"/>
    <w:rsid w:val="00C50AFB"/>
    <w:rsid w:val="00C50EEB"/>
    <w:rsid w:val="00C54B84"/>
    <w:rsid w:val="00C5505F"/>
    <w:rsid w:val="00C61512"/>
    <w:rsid w:val="00C62047"/>
    <w:rsid w:val="00C643F3"/>
    <w:rsid w:val="00C70F38"/>
    <w:rsid w:val="00C7137D"/>
    <w:rsid w:val="00C716B1"/>
    <w:rsid w:val="00C75B7F"/>
    <w:rsid w:val="00C801FC"/>
    <w:rsid w:val="00C8093F"/>
    <w:rsid w:val="00C84B19"/>
    <w:rsid w:val="00C84DEA"/>
    <w:rsid w:val="00C85B7B"/>
    <w:rsid w:val="00C86794"/>
    <w:rsid w:val="00C9016D"/>
    <w:rsid w:val="00C9122B"/>
    <w:rsid w:val="00C91B6F"/>
    <w:rsid w:val="00C92EB8"/>
    <w:rsid w:val="00C93793"/>
    <w:rsid w:val="00C94051"/>
    <w:rsid w:val="00C94513"/>
    <w:rsid w:val="00C946E8"/>
    <w:rsid w:val="00C9495C"/>
    <w:rsid w:val="00C94B62"/>
    <w:rsid w:val="00C97C70"/>
    <w:rsid w:val="00C97D97"/>
    <w:rsid w:val="00C97FB6"/>
    <w:rsid w:val="00CA16EA"/>
    <w:rsid w:val="00CA1910"/>
    <w:rsid w:val="00CA205D"/>
    <w:rsid w:val="00CA76C9"/>
    <w:rsid w:val="00CA786E"/>
    <w:rsid w:val="00CA7F7F"/>
    <w:rsid w:val="00CB0390"/>
    <w:rsid w:val="00CB2B1B"/>
    <w:rsid w:val="00CB2F6B"/>
    <w:rsid w:val="00CB5D91"/>
    <w:rsid w:val="00CB6C32"/>
    <w:rsid w:val="00CB7C9A"/>
    <w:rsid w:val="00CB7EF1"/>
    <w:rsid w:val="00CB7F70"/>
    <w:rsid w:val="00CC1ED5"/>
    <w:rsid w:val="00CC22DB"/>
    <w:rsid w:val="00CC3ADC"/>
    <w:rsid w:val="00CC40DB"/>
    <w:rsid w:val="00CD2112"/>
    <w:rsid w:val="00CD327A"/>
    <w:rsid w:val="00CD39A5"/>
    <w:rsid w:val="00CD3E12"/>
    <w:rsid w:val="00CD4DBE"/>
    <w:rsid w:val="00CD6770"/>
    <w:rsid w:val="00CD7BD0"/>
    <w:rsid w:val="00CE57BC"/>
    <w:rsid w:val="00CE7315"/>
    <w:rsid w:val="00CF0A70"/>
    <w:rsid w:val="00CF1A59"/>
    <w:rsid w:val="00CF26A0"/>
    <w:rsid w:val="00CF2C81"/>
    <w:rsid w:val="00CF334D"/>
    <w:rsid w:val="00CF4CB9"/>
    <w:rsid w:val="00CF5494"/>
    <w:rsid w:val="00CF760F"/>
    <w:rsid w:val="00CF7BC8"/>
    <w:rsid w:val="00D01EBC"/>
    <w:rsid w:val="00D01FA3"/>
    <w:rsid w:val="00D05119"/>
    <w:rsid w:val="00D05F6A"/>
    <w:rsid w:val="00D07782"/>
    <w:rsid w:val="00D1402B"/>
    <w:rsid w:val="00D154F5"/>
    <w:rsid w:val="00D16694"/>
    <w:rsid w:val="00D1703F"/>
    <w:rsid w:val="00D17099"/>
    <w:rsid w:val="00D17F44"/>
    <w:rsid w:val="00D201F6"/>
    <w:rsid w:val="00D20820"/>
    <w:rsid w:val="00D20C31"/>
    <w:rsid w:val="00D21BE7"/>
    <w:rsid w:val="00D21C9B"/>
    <w:rsid w:val="00D22E75"/>
    <w:rsid w:val="00D24DEE"/>
    <w:rsid w:val="00D250BD"/>
    <w:rsid w:val="00D25DD8"/>
    <w:rsid w:val="00D2661F"/>
    <w:rsid w:val="00D27180"/>
    <w:rsid w:val="00D27AE2"/>
    <w:rsid w:val="00D320C2"/>
    <w:rsid w:val="00D32AFA"/>
    <w:rsid w:val="00D363E4"/>
    <w:rsid w:val="00D41900"/>
    <w:rsid w:val="00D41CBF"/>
    <w:rsid w:val="00D4248C"/>
    <w:rsid w:val="00D43C8F"/>
    <w:rsid w:val="00D4532B"/>
    <w:rsid w:val="00D5159D"/>
    <w:rsid w:val="00D51B2E"/>
    <w:rsid w:val="00D51C2E"/>
    <w:rsid w:val="00D52437"/>
    <w:rsid w:val="00D54244"/>
    <w:rsid w:val="00D54D6F"/>
    <w:rsid w:val="00D54EDE"/>
    <w:rsid w:val="00D5587F"/>
    <w:rsid w:val="00D5623C"/>
    <w:rsid w:val="00D60445"/>
    <w:rsid w:val="00D60460"/>
    <w:rsid w:val="00D61B83"/>
    <w:rsid w:val="00D62B11"/>
    <w:rsid w:val="00D638EA"/>
    <w:rsid w:val="00D640E6"/>
    <w:rsid w:val="00D66291"/>
    <w:rsid w:val="00D6633B"/>
    <w:rsid w:val="00D66672"/>
    <w:rsid w:val="00D66C19"/>
    <w:rsid w:val="00D6733B"/>
    <w:rsid w:val="00D678CB"/>
    <w:rsid w:val="00D67F2F"/>
    <w:rsid w:val="00D72C6C"/>
    <w:rsid w:val="00D73927"/>
    <w:rsid w:val="00D75E4B"/>
    <w:rsid w:val="00D76129"/>
    <w:rsid w:val="00D76574"/>
    <w:rsid w:val="00D7664F"/>
    <w:rsid w:val="00D7785E"/>
    <w:rsid w:val="00D802F5"/>
    <w:rsid w:val="00D80EE2"/>
    <w:rsid w:val="00D82B56"/>
    <w:rsid w:val="00D83CE4"/>
    <w:rsid w:val="00D85AFB"/>
    <w:rsid w:val="00D87CD2"/>
    <w:rsid w:val="00D87E1F"/>
    <w:rsid w:val="00D90086"/>
    <w:rsid w:val="00D90875"/>
    <w:rsid w:val="00D93FC2"/>
    <w:rsid w:val="00D95E99"/>
    <w:rsid w:val="00D96EFD"/>
    <w:rsid w:val="00DA1366"/>
    <w:rsid w:val="00DA2C52"/>
    <w:rsid w:val="00DA3210"/>
    <w:rsid w:val="00DA3738"/>
    <w:rsid w:val="00DA46AC"/>
    <w:rsid w:val="00DA660E"/>
    <w:rsid w:val="00DB152E"/>
    <w:rsid w:val="00DB4B42"/>
    <w:rsid w:val="00DB4E3F"/>
    <w:rsid w:val="00DB570B"/>
    <w:rsid w:val="00DB7B40"/>
    <w:rsid w:val="00DC0850"/>
    <w:rsid w:val="00DC7BE2"/>
    <w:rsid w:val="00DD1A61"/>
    <w:rsid w:val="00DD1F9D"/>
    <w:rsid w:val="00DD3317"/>
    <w:rsid w:val="00DD3A84"/>
    <w:rsid w:val="00DD6371"/>
    <w:rsid w:val="00DD6F70"/>
    <w:rsid w:val="00DD7797"/>
    <w:rsid w:val="00DD7D25"/>
    <w:rsid w:val="00DE0746"/>
    <w:rsid w:val="00DE0D9B"/>
    <w:rsid w:val="00DE21C1"/>
    <w:rsid w:val="00DE2DFB"/>
    <w:rsid w:val="00DE3B2D"/>
    <w:rsid w:val="00DE6C16"/>
    <w:rsid w:val="00DE7E01"/>
    <w:rsid w:val="00DF00BD"/>
    <w:rsid w:val="00DF417D"/>
    <w:rsid w:val="00DF47A6"/>
    <w:rsid w:val="00DF72BA"/>
    <w:rsid w:val="00E04DB7"/>
    <w:rsid w:val="00E05017"/>
    <w:rsid w:val="00E051D4"/>
    <w:rsid w:val="00E0572B"/>
    <w:rsid w:val="00E06967"/>
    <w:rsid w:val="00E11789"/>
    <w:rsid w:val="00E127E8"/>
    <w:rsid w:val="00E12B1A"/>
    <w:rsid w:val="00E136D4"/>
    <w:rsid w:val="00E160E2"/>
    <w:rsid w:val="00E16B1E"/>
    <w:rsid w:val="00E17A9F"/>
    <w:rsid w:val="00E2134A"/>
    <w:rsid w:val="00E22B5E"/>
    <w:rsid w:val="00E258D6"/>
    <w:rsid w:val="00E2768A"/>
    <w:rsid w:val="00E27779"/>
    <w:rsid w:val="00E329D2"/>
    <w:rsid w:val="00E33C0B"/>
    <w:rsid w:val="00E34FB5"/>
    <w:rsid w:val="00E357FD"/>
    <w:rsid w:val="00E36FBB"/>
    <w:rsid w:val="00E378DB"/>
    <w:rsid w:val="00E41D43"/>
    <w:rsid w:val="00E437A6"/>
    <w:rsid w:val="00E458D3"/>
    <w:rsid w:val="00E45B42"/>
    <w:rsid w:val="00E464B2"/>
    <w:rsid w:val="00E500FE"/>
    <w:rsid w:val="00E50B79"/>
    <w:rsid w:val="00E53E9A"/>
    <w:rsid w:val="00E552F5"/>
    <w:rsid w:val="00E5604B"/>
    <w:rsid w:val="00E604AA"/>
    <w:rsid w:val="00E6205F"/>
    <w:rsid w:val="00E63211"/>
    <w:rsid w:val="00E637F3"/>
    <w:rsid w:val="00E65610"/>
    <w:rsid w:val="00E6708D"/>
    <w:rsid w:val="00E70458"/>
    <w:rsid w:val="00E743A0"/>
    <w:rsid w:val="00E76C62"/>
    <w:rsid w:val="00E81DC2"/>
    <w:rsid w:val="00E83697"/>
    <w:rsid w:val="00E85002"/>
    <w:rsid w:val="00E90615"/>
    <w:rsid w:val="00E93B0F"/>
    <w:rsid w:val="00E960FD"/>
    <w:rsid w:val="00E96D0A"/>
    <w:rsid w:val="00E973C3"/>
    <w:rsid w:val="00EA00ED"/>
    <w:rsid w:val="00EA2F3D"/>
    <w:rsid w:val="00EA480A"/>
    <w:rsid w:val="00EB0668"/>
    <w:rsid w:val="00EB1498"/>
    <w:rsid w:val="00EB2E2D"/>
    <w:rsid w:val="00EB4D3B"/>
    <w:rsid w:val="00EB519C"/>
    <w:rsid w:val="00EB55EC"/>
    <w:rsid w:val="00EB64BE"/>
    <w:rsid w:val="00EB6F86"/>
    <w:rsid w:val="00EB7472"/>
    <w:rsid w:val="00EC02BE"/>
    <w:rsid w:val="00EC03DE"/>
    <w:rsid w:val="00EC0743"/>
    <w:rsid w:val="00EC1333"/>
    <w:rsid w:val="00EC2226"/>
    <w:rsid w:val="00EC2501"/>
    <w:rsid w:val="00EC7149"/>
    <w:rsid w:val="00ED065B"/>
    <w:rsid w:val="00ED11CD"/>
    <w:rsid w:val="00ED43BB"/>
    <w:rsid w:val="00ED65B9"/>
    <w:rsid w:val="00ED7254"/>
    <w:rsid w:val="00EE1024"/>
    <w:rsid w:val="00EE14D6"/>
    <w:rsid w:val="00EE2CCD"/>
    <w:rsid w:val="00EE3472"/>
    <w:rsid w:val="00EE419B"/>
    <w:rsid w:val="00EE6648"/>
    <w:rsid w:val="00EF067F"/>
    <w:rsid w:val="00EF0ABA"/>
    <w:rsid w:val="00EF1C95"/>
    <w:rsid w:val="00EF21FA"/>
    <w:rsid w:val="00EF3220"/>
    <w:rsid w:val="00EF5EA3"/>
    <w:rsid w:val="00F0016A"/>
    <w:rsid w:val="00F017DE"/>
    <w:rsid w:val="00F06BC7"/>
    <w:rsid w:val="00F07AAF"/>
    <w:rsid w:val="00F11303"/>
    <w:rsid w:val="00F142B1"/>
    <w:rsid w:val="00F14C16"/>
    <w:rsid w:val="00F152E4"/>
    <w:rsid w:val="00F1635F"/>
    <w:rsid w:val="00F21B1F"/>
    <w:rsid w:val="00F21E8A"/>
    <w:rsid w:val="00F243E3"/>
    <w:rsid w:val="00F246A1"/>
    <w:rsid w:val="00F262A9"/>
    <w:rsid w:val="00F26DE4"/>
    <w:rsid w:val="00F30CD7"/>
    <w:rsid w:val="00F325EF"/>
    <w:rsid w:val="00F33DC1"/>
    <w:rsid w:val="00F344E2"/>
    <w:rsid w:val="00F3617C"/>
    <w:rsid w:val="00F37203"/>
    <w:rsid w:val="00F37C50"/>
    <w:rsid w:val="00F403D3"/>
    <w:rsid w:val="00F43E7E"/>
    <w:rsid w:val="00F43F12"/>
    <w:rsid w:val="00F44772"/>
    <w:rsid w:val="00F475D1"/>
    <w:rsid w:val="00F5177A"/>
    <w:rsid w:val="00F51D01"/>
    <w:rsid w:val="00F52118"/>
    <w:rsid w:val="00F55B90"/>
    <w:rsid w:val="00F55E7C"/>
    <w:rsid w:val="00F55FA6"/>
    <w:rsid w:val="00F5640A"/>
    <w:rsid w:val="00F576F5"/>
    <w:rsid w:val="00F60FB3"/>
    <w:rsid w:val="00F647E9"/>
    <w:rsid w:val="00F65982"/>
    <w:rsid w:val="00F67170"/>
    <w:rsid w:val="00F67AE1"/>
    <w:rsid w:val="00F70DB0"/>
    <w:rsid w:val="00F73302"/>
    <w:rsid w:val="00F74D0F"/>
    <w:rsid w:val="00F7555D"/>
    <w:rsid w:val="00F77732"/>
    <w:rsid w:val="00F8002C"/>
    <w:rsid w:val="00F80426"/>
    <w:rsid w:val="00F815A8"/>
    <w:rsid w:val="00F82B4A"/>
    <w:rsid w:val="00F858E4"/>
    <w:rsid w:val="00F85AB3"/>
    <w:rsid w:val="00F92105"/>
    <w:rsid w:val="00F92C3B"/>
    <w:rsid w:val="00F933CB"/>
    <w:rsid w:val="00FA17D6"/>
    <w:rsid w:val="00FA1FFF"/>
    <w:rsid w:val="00FA3333"/>
    <w:rsid w:val="00FA467A"/>
    <w:rsid w:val="00FA50D9"/>
    <w:rsid w:val="00FA7130"/>
    <w:rsid w:val="00FA7708"/>
    <w:rsid w:val="00FA7D81"/>
    <w:rsid w:val="00FA7D97"/>
    <w:rsid w:val="00FB4559"/>
    <w:rsid w:val="00FB61B8"/>
    <w:rsid w:val="00FB6EA1"/>
    <w:rsid w:val="00FB722B"/>
    <w:rsid w:val="00FB76BE"/>
    <w:rsid w:val="00FC1E5D"/>
    <w:rsid w:val="00FC4322"/>
    <w:rsid w:val="00FC7B67"/>
    <w:rsid w:val="00FC7D18"/>
    <w:rsid w:val="00FD05F1"/>
    <w:rsid w:val="00FD31E9"/>
    <w:rsid w:val="00FD3CB0"/>
    <w:rsid w:val="00FD4B3B"/>
    <w:rsid w:val="00FE230A"/>
    <w:rsid w:val="00FE26BF"/>
    <w:rsid w:val="00FF30F1"/>
    <w:rsid w:val="00FF3F86"/>
    <w:rsid w:val="00FF4C39"/>
    <w:rsid w:val="00FF52C7"/>
    <w:rsid w:val="00FF5A1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8A19E"/>
  <w15:docId w15:val="{504F7E4F-34F5-4567-A26A-72EBF4F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BC2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562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23C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B7B40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B213C9"/>
    <w:rPr>
      <w:b/>
      <w:bCs/>
    </w:rPr>
  </w:style>
  <w:style w:type="paragraph" w:styleId="Odlomakpopisa">
    <w:name w:val="List Paragraph"/>
    <w:basedOn w:val="Normal"/>
    <w:uiPriority w:val="34"/>
    <w:qFormat/>
    <w:rsid w:val="00BC6F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C2F91"/>
    <w:rPr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sid w:val="0046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0536-00A5-4AB8-A5D3-657DC5AF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Grad Ivanec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Grad Ivanec</dc:creator>
  <cp:keywords/>
  <cp:lastModifiedBy>Jelena Cukovic</cp:lastModifiedBy>
  <cp:revision>2</cp:revision>
  <cp:lastPrinted>2020-11-19T08:51:00Z</cp:lastPrinted>
  <dcterms:created xsi:type="dcterms:W3CDTF">2020-11-20T10:08:00Z</dcterms:created>
  <dcterms:modified xsi:type="dcterms:W3CDTF">2020-11-20T10:08:00Z</dcterms:modified>
</cp:coreProperties>
</file>