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F503A6">
              <w:rPr>
                <w:rFonts w:ascii="Times New Roman" w:hAnsi="Times New Roman" w:cs="Times New Roman"/>
              </w:rPr>
              <w:t>STRATEGIJE UPRAVLJANJA IMOVINOM</w:t>
            </w:r>
            <w:bookmarkStart w:id="0" w:name="_GoBack"/>
            <w:bookmarkEnd w:id="0"/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503A6" w:rsidRPr="00F503A6" w:rsidRDefault="00F503A6" w:rsidP="00F503A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3A6" w:rsidRPr="00F503A6" w:rsidRDefault="00F503A6" w:rsidP="00F503A6">
            <w:pPr>
              <w:rPr>
                <w:rFonts w:ascii="Times New Roman" w:hAnsi="Times New Roman"/>
                <w:sz w:val="24"/>
                <w:szCs w:val="24"/>
              </w:rPr>
            </w:pPr>
            <w:r w:rsidRPr="00F503A6">
              <w:rPr>
                <w:rFonts w:ascii="Times New Roman" w:hAnsi="Times New Roman"/>
                <w:sz w:val="24"/>
                <w:szCs w:val="24"/>
              </w:rPr>
              <w:t xml:space="preserve">Odluka o uvjetima, načinu i postupku upravljanja nekretninama u vlasništvu Grada Ivanca („Službeni vjesnik Varaždinske županije“ br. 44/15) </w:t>
            </w:r>
          </w:p>
          <w:p w:rsidR="00B84F9E" w:rsidRPr="003F3A7F" w:rsidRDefault="00B84F9E" w:rsidP="000F36E4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F503A6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STRATEGIJA UPRAVLJANJA IMOVINOM GRADA IVANCA 2018-2021.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280839">
              <w:rPr>
                <w:rFonts w:ascii="Times New Roman" w:hAnsi="Times New Roman" w:cs="Times New Roman"/>
              </w:rPr>
              <w:t>11.03.2019. do 21.03.2019.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80839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73639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503A6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76D3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2</cp:revision>
  <cp:lastPrinted>2015-06-02T12:43:00Z</cp:lastPrinted>
  <dcterms:created xsi:type="dcterms:W3CDTF">2019-03-11T08:36:00Z</dcterms:created>
  <dcterms:modified xsi:type="dcterms:W3CDTF">2019-03-11T08:36:00Z</dcterms:modified>
</cp:coreProperties>
</file>