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5C" w:rsidRPr="00F411AD" w:rsidRDefault="00F2275C" w:rsidP="00F2275C">
      <w:pPr>
        <w:spacing w:line="360" w:lineRule="auto"/>
        <w:jc w:val="center"/>
        <w:rPr>
          <w:b/>
          <w:sz w:val="28"/>
          <w:szCs w:val="28"/>
        </w:rPr>
      </w:pPr>
      <w:r w:rsidRPr="00F411AD">
        <w:rPr>
          <w:b/>
          <w:sz w:val="28"/>
          <w:szCs w:val="28"/>
        </w:rPr>
        <w:t>OBRAZLOŽENJE</w:t>
      </w:r>
    </w:p>
    <w:p w:rsidR="00F2275C" w:rsidRPr="00114F4E" w:rsidRDefault="00F2275C" w:rsidP="00F2275C">
      <w:pPr>
        <w:spacing w:line="360" w:lineRule="auto"/>
        <w:jc w:val="center"/>
        <w:rPr>
          <w:b/>
          <w:sz w:val="24"/>
          <w:szCs w:val="24"/>
        </w:rPr>
      </w:pPr>
      <w:r w:rsidRPr="00114F4E">
        <w:rPr>
          <w:b/>
          <w:sz w:val="24"/>
          <w:szCs w:val="24"/>
        </w:rPr>
        <w:t>uz</w:t>
      </w:r>
    </w:p>
    <w:p w:rsidR="00F2275C" w:rsidRPr="00114F4E" w:rsidRDefault="0024069B" w:rsidP="00F2275C">
      <w:pPr>
        <w:spacing w:line="360" w:lineRule="auto"/>
        <w:jc w:val="center"/>
        <w:rPr>
          <w:b/>
          <w:sz w:val="24"/>
          <w:szCs w:val="24"/>
        </w:rPr>
      </w:pPr>
      <w:r>
        <w:rPr>
          <w:b/>
          <w:sz w:val="24"/>
          <w:szCs w:val="24"/>
        </w:rPr>
        <w:t>Nacrt</w:t>
      </w:r>
      <w:r w:rsidR="00F2275C" w:rsidRPr="00114F4E">
        <w:rPr>
          <w:b/>
          <w:sz w:val="24"/>
          <w:szCs w:val="24"/>
        </w:rPr>
        <w:t xml:space="preserve"> Odluke o komunaln</w:t>
      </w:r>
      <w:r w:rsidR="00A73A91" w:rsidRPr="00114F4E">
        <w:rPr>
          <w:b/>
          <w:sz w:val="24"/>
          <w:szCs w:val="24"/>
        </w:rPr>
        <w:t>o</w:t>
      </w:r>
      <w:r w:rsidR="00C04D30">
        <w:rPr>
          <w:b/>
          <w:sz w:val="24"/>
          <w:szCs w:val="24"/>
        </w:rPr>
        <w:t>m doprinosu</w:t>
      </w:r>
    </w:p>
    <w:p w:rsidR="00F2275C" w:rsidRPr="00F411AD" w:rsidRDefault="00F2275C" w:rsidP="00F2275C">
      <w:pPr>
        <w:jc w:val="both"/>
        <w:rPr>
          <w:b/>
          <w:szCs w:val="22"/>
        </w:rPr>
      </w:pPr>
    </w:p>
    <w:p w:rsidR="00A73A91" w:rsidRDefault="00F2275C" w:rsidP="00F2275C">
      <w:pPr>
        <w:ind w:firstLine="720"/>
        <w:jc w:val="both"/>
        <w:rPr>
          <w:szCs w:val="22"/>
        </w:rPr>
      </w:pPr>
      <w:r>
        <w:rPr>
          <w:szCs w:val="22"/>
        </w:rPr>
        <w:t xml:space="preserve">Zakon o komunalnom gospodarstvu („Narodne novine“ br. 68/18), koji je stupio na snagu 4. kolovoza 2018. godine, </w:t>
      </w:r>
      <w:r w:rsidR="003F5A9F">
        <w:rPr>
          <w:szCs w:val="22"/>
        </w:rPr>
        <w:t>propisao je rok od 6 mjeseci u kojem jedinice lokalne samouprave moraju donijeti nov</w:t>
      </w:r>
      <w:r w:rsidR="00792C27">
        <w:rPr>
          <w:szCs w:val="22"/>
        </w:rPr>
        <w:t>u</w:t>
      </w:r>
      <w:r w:rsidR="003F5A9F">
        <w:rPr>
          <w:szCs w:val="22"/>
        </w:rPr>
        <w:t xml:space="preserve"> Odluk</w:t>
      </w:r>
      <w:r w:rsidR="00792C27">
        <w:rPr>
          <w:szCs w:val="22"/>
        </w:rPr>
        <w:t>u</w:t>
      </w:r>
      <w:r w:rsidR="003F5A9F">
        <w:rPr>
          <w:szCs w:val="22"/>
        </w:rPr>
        <w:t xml:space="preserve"> o komunalno</w:t>
      </w:r>
      <w:r w:rsidR="00C04D30">
        <w:rPr>
          <w:szCs w:val="22"/>
        </w:rPr>
        <w:t>m doprinosu</w:t>
      </w:r>
      <w:r w:rsidR="003F5A9F">
        <w:rPr>
          <w:szCs w:val="22"/>
        </w:rPr>
        <w:t>.</w:t>
      </w:r>
    </w:p>
    <w:p w:rsidR="003F5A9F" w:rsidRDefault="003F5A9F" w:rsidP="00F2275C">
      <w:pPr>
        <w:ind w:firstLine="720"/>
        <w:jc w:val="both"/>
        <w:rPr>
          <w:szCs w:val="22"/>
        </w:rPr>
      </w:pPr>
      <w:r>
        <w:rPr>
          <w:szCs w:val="22"/>
        </w:rPr>
        <w:t>Dosadašnja Odluka o komunalno</w:t>
      </w:r>
      <w:r w:rsidR="00C04D30">
        <w:rPr>
          <w:szCs w:val="22"/>
        </w:rPr>
        <w:t>m doprinosu donesena je</w:t>
      </w:r>
      <w:r w:rsidR="00C04D30">
        <w:t xml:space="preserve"> 14. rujna 2010.-e godine, </w:t>
      </w:r>
      <w:r>
        <w:rPr>
          <w:szCs w:val="22"/>
        </w:rPr>
        <w:t>te je zbog potreba usklađivanja sa novim propisima u više navrata mijenjana i dopunjavana.</w:t>
      </w:r>
    </w:p>
    <w:p w:rsidR="00C04D30" w:rsidRDefault="00114F4E" w:rsidP="00F2275C">
      <w:pPr>
        <w:ind w:firstLine="720"/>
        <w:jc w:val="both"/>
        <w:rPr>
          <w:szCs w:val="22"/>
        </w:rPr>
      </w:pPr>
      <w:r>
        <w:rPr>
          <w:szCs w:val="22"/>
        </w:rPr>
        <w:t>Novom Odlukom o komunalno</w:t>
      </w:r>
      <w:r w:rsidR="00C04D30">
        <w:rPr>
          <w:szCs w:val="22"/>
        </w:rPr>
        <w:t xml:space="preserve">m doprinosu </w:t>
      </w:r>
      <w:r w:rsidR="00F63E31">
        <w:rPr>
          <w:szCs w:val="22"/>
        </w:rPr>
        <w:t>smanjen je broj</w:t>
      </w:r>
      <w:r w:rsidR="00C04D30">
        <w:rPr>
          <w:szCs w:val="22"/>
        </w:rPr>
        <w:t xml:space="preserve"> zon</w:t>
      </w:r>
      <w:r w:rsidR="00F63E31">
        <w:rPr>
          <w:szCs w:val="22"/>
        </w:rPr>
        <w:t xml:space="preserve">a u odnosu na sadašnju Odluku, </w:t>
      </w:r>
      <w:r w:rsidR="00C04D30">
        <w:rPr>
          <w:szCs w:val="22"/>
        </w:rPr>
        <w:t xml:space="preserve"> </w:t>
      </w:r>
      <w:r w:rsidR="00F63E31">
        <w:rPr>
          <w:szCs w:val="22"/>
        </w:rPr>
        <w:t xml:space="preserve">izmijenjene su </w:t>
      </w:r>
      <w:r w:rsidR="00C04D30">
        <w:rPr>
          <w:szCs w:val="22"/>
        </w:rPr>
        <w:t>i jedinične vrijednosti komunalnog doprinosa</w:t>
      </w:r>
      <w:r w:rsidR="007B746C">
        <w:rPr>
          <w:szCs w:val="22"/>
        </w:rPr>
        <w:t xml:space="preserve"> u manjoj mjeri</w:t>
      </w:r>
      <w:r w:rsidR="00C04D30">
        <w:rPr>
          <w:szCs w:val="22"/>
        </w:rPr>
        <w:t>, te izvršeno usklađenje u pogledu definiranja načina i rokova plaćanja, kao i uvjeta oslobađanja od plaćanja komunalnog doprinosa, sukladno novim zakonskim rješenjima.</w:t>
      </w:r>
      <w:r w:rsidR="003B0276">
        <w:rPr>
          <w:szCs w:val="22"/>
        </w:rPr>
        <w:t xml:space="preserve"> Zadržane su i sve postojeće olakšice investitorima proizvodnih pogona, sukladno gradskim razvojnim programima</w:t>
      </w:r>
      <w:bookmarkStart w:id="0" w:name="_GoBack"/>
      <w:bookmarkEnd w:id="0"/>
      <w:r w:rsidR="003B0276">
        <w:rPr>
          <w:szCs w:val="22"/>
        </w:rPr>
        <w:t>.</w:t>
      </w:r>
    </w:p>
    <w:p w:rsidR="00C04D30" w:rsidRDefault="00C04D30" w:rsidP="00F2275C">
      <w:pPr>
        <w:ind w:firstLine="720"/>
        <w:jc w:val="both"/>
        <w:rPr>
          <w:szCs w:val="22"/>
        </w:rPr>
      </w:pPr>
      <w:r>
        <w:rPr>
          <w:szCs w:val="22"/>
        </w:rPr>
        <w:t>Novi zakon po pitanju komunalnog doprinosa uvodi i nekoliko značajnijih novina u odnosu na dosadašnje stanje.</w:t>
      </w:r>
    </w:p>
    <w:p w:rsidR="00C04D30" w:rsidRDefault="00C04D30" w:rsidP="00F2275C">
      <w:pPr>
        <w:ind w:firstLine="720"/>
        <w:jc w:val="both"/>
        <w:rPr>
          <w:szCs w:val="22"/>
        </w:rPr>
      </w:pPr>
      <w:r w:rsidRPr="00EA46A9">
        <w:rPr>
          <w:szCs w:val="22"/>
        </w:rPr>
        <w:t>Prema prijašnjem Zakonu o komunalnom gospodarstvu, koji je stupanjem na snagu novog Zakona, prestao važiti, obveznik plaćanja komunalnog doprinosa bio je „vlasnik građevne čestice na kojoj se gradi građevina, odnosno investitor“. Prema novom Zakonu obveznik plaćanja komunalnog doprinosa je „vlasnik zemljišta na kojem se gradi građevina“, odnosno investitor ako je to osoba različita od vlasnika, samo ako je na njega od strane vlasnika prenesena pisanim ugovorom obveza plaćanja komunalnog doprinosa (članak 77. Zakona). </w:t>
      </w:r>
    </w:p>
    <w:p w:rsidR="003F5A9F" w:rsidRDefault="00EA46A9" w:rsidP="00EA46A9">
      <w:pPr>
        <w:ind w:firstLine="720"/>
        <w:jc w:val="both"/>
        <w:rPr>
          <w:szCs w:val="22"/>
        </w:rPr>
      </w:pPr>
      <w:r>
        <w:rPr>
          <w:szCs w:val="22"/>
        </w:rPr>
        <w:t xml:space="preserve">Novost je i da </w:t>
      </w:r>
      <w:r w:rsidRPr="00EA46A9">
        <w:rPr>
          <w:szCs w:val="22"/>
        </w:rPr>
        <w:t xml:space="preserve">rješenje o komunalnom doprinosu više obvezatno ne sadrži „popis objekata i uređaja komunalne infrastrukture koje će jedinice lokalne samouprave izgraditi u skladu s Programom gradnje objekata i uređaja komunalne infrastrukture“ ,kao ni „obvezu jedinice lokalne samouprave o razmjernom povratu sredstava u odnosu na izgrađenost objekata i uređaja komunalne infrastrukture i ostvareni priliv sredstava„. To znači da se briše iz sustava institut razmjernog povrata sredstava uplaćenog komunalnog doprinosa, po rješenju o komunalnom doprinosu, u odnosu na izgrađenost objekta i uređaja komunalne infrastrukture prema Programu i ostvareni priliv sredstava, ukoliko Grad </w:t>
      </w:r>
      <w:r>
        <w:rPr>
          <w:szCs w:val="22"/>
        </w:rPr>
        <w:t>Ivanec</w:t>
      </w:r>
      <w:r w:rsidRPr="00EA46A9">
        <w:rPr>
          <w:szCs w:val="22"/>
        </w:rPr>
        <w:t xml:space="preserve"> ne bi izvršio svoju obvezu izgradnje svih objekata po godišnjem Programu u čiju izgradnju su trebala biti uložena sredstva komunalnog doprinosa prema rješenju o komunalnom doprinosu.</w:t>
      </w:r>
    </w:p>
    <w:p w:rsidR="00EA46A9" w:rsidRDefault="00EA46A9" w:rsidP="00F2275C">
      <w:pPr>
        <w:ind w:firstLine="720"/>
        <w:jc w:val="both"/>
        <w:rPr>
          <w:szCs w:val="22"/>
        </w:rPr>
      </w:pPr>
      <w:r w:rsidRPr="00EA46A9">
        <w:rPr>
          <w:szCs w:val="22"/>
        </w:rPr>
        <w:t>Prema novom Zakonu nije više potrebno ni posebno osiguravati nenaplaćena sredstva u slučaju potpunog ili djelomičnog oslobađanja od plaćanja komunalnog doprinosa.</w:t>
      </w:r>
    </w:p>
    <w:p w:rsidR="00224635" w:rsidRPr="00224635" w:rsidRDefault="00224635" w:rsidP="00224635">
      <w:pPr>
        <w:ind w:firstLine="720"/>
        <w:jc w:val="both"/>
        <w:rPr>
          <w:szCs w:val="22"/>
        </w:rPr>
      </w:pPr>
      <w:r>
        <w:rPr>
          <w:szCs w:val="22"/>
        </w:rPr>
        <w:t>U</w:t>
      </w:r>
      <w:r w:rsidRPr="00224635">
        <w:rPr>
          <w:szCs w:val="22"/>
        </w:rPr>
        <w:t xml:space="preserve"> slučaju da je naknadno izmijenjena građevinska dozvola ili drugi akt za građenje, prema članku 87. Zakona, potrebno je izmijeniti i izvršno odnosno pravomoćno rješenje o komunalnom doprinosu i obračunati komunalni doprinos prema izmijenjenim podacima iz izmijenjenog odobrenja za gradnju i odrediti plaćanje komunalnog doprinosa odnosno povrat razlike komunalnog doprinosa (ako je izmijenjenim rješenjem obračunat manji komunalni doprinos u odnosu na ranije obračunat po osnovnom odobrenju za gradnju), u skladu s odlukom o komunalnom doprinosu u skladu s kojom je rješenje o komunalnom doprinosu doneseno, što do sada nije bio slučaj, odnosno Grad Ivanec nije bio u obvezi  izvršiti povrat više uplaćenog komunalnog doprinosa.</w:t>
      </w:r>
    </w:p>
    <w:p w:rsidR="00224635" w:rsidRPr="00224635" w:rsidRDefault="00224635" w:rsidP="00224635">
      <w:pPr>
        <w:ind w:firstLine="720"/>
        <w:jc w:val="both"/>
        <w:rPr>
          <w:szCs w:val="22"/>
        </w:rPr>
      </w:pPr>
      <w:r w:rsidRPr="00224635">
        <w:rPr>
          <w:szCs w:val="22"/>
        </w:rPr>
        <w:t>Novost je i da u slučaju da je građevinska dozvola ili drugi akt za građenje naknadno proglašen ništavim ili poništen bez zahtjeva odnosno suglasnosti investitora, Grad Ivanec će po zahtjevu obveznika komunalnog doprinosa poništiti izvršno odnosno pravomoćno rješenje o komunalnom doprinosu i odrediti povrat uplaćenog komunalnog doprinosa u roku koji ne može biti dulji od dvije godine dana od dana izvršnosti rješenja.</w:t>
      </w:r>
    </w:p>
    <w:p w:rsidR="00224635" w:rsidRPr="00224635" w:rsidRDefault="00224635" w:rsidP="00224635">
      <w:pPr>
        <w:ind w:firstLine="720"/>
        <w:jc w:val="both"/>
        <w:rPr>
          <w:szCs w:val="22"/>
        </w:rPr>
      </w:pPr>
      <w:r w:rsidRPr="00224635">
        <w:rPr>
          <w:szCs w:val="22"/>
        </w:rPr>
        <w:t>Novim zakonom uvodi se još jedna novost, a to je pravo obveznika komunalnog doprinosa da mu se uplaćeni komunalni doprinos uračuna  kao plaćeni dio komunalnog doprinosa za građenje na istom ili drugom zemljištu na području Grada Ivanca ako to on zatraži, u slučaju kada mu je građevinska dozvola po kojoj je plaćen komunalni doprinos prestala važiti jer građenje nije započeto ili mu je građevinska dozvola odnosno drugi akt za građenje poništen na njegov zahtjev ili suglasnost.</w:t>
      </w:r>
    </w:p>
    <w:p w:rsidR="003B0276" w:rsidRPr="003B0276" w:rsidRDefault="003B0276" w:rsidP="00F2275C">
      <w:pPr>
        <w:ind w:firstLine="720"/>
        <w:jc w:val="both"/>
        <w:rPr>
          <w:szCs w:val="22"/>
        </w:rPr>
      </w:pPr>
      <w:r w:rsidRPr="003B0276">
        <w:rPr>
          <w:szCs w:val="22"/>
        </w:rPr>
        <w:t>Prijedlogom Odluke propisane su jedinične vrijednosti komunalnog doprinosa po zonama, ali ne više kao do sada jedinične vrijednosti komunalnog doprinosa „po vrsti objekata i uređ</w:t>
      </w:r>
      <w:r>
        <w:rPr>
          <w:szCs w:val="22"/>
        </w:rPr>
        <w:t>aja komunalne infrastrukture“, što je pričinjavalo određene poteškoće prilikom planiranja prihoda i rashoda za pojedine zahvate.</w:t>
      </w:r>
    </w:p>
    <w:p w:rsidR="00224635" w:rsidRDefault="001D00AE" w:rsidP="00F2275C">
      <w:pPr>
        <w:ind w:firstLine="720"/>
        <w:jc w:val="both"/>
        <w:rPr>
          <w:szCs w:val="22"/>
        </w:rPr>
      </w:pPr>
      <w:r>
        <w:rPr>
          <w:szCs w:val="22"/>
        </w:rPr>
        <w:t>Odlukom je propisan i sadržaj rješenja o komunalnom doprinosu, sukl</w:t>
      </w:r>
      <w:r w:rsidR="0082140E">
        <w:rPr>
          <w:szCs w:val="22"/>
        </w:rPr>
        <w:t>adno novim zakonskim rješenjima.</w:t>
      </w:r>
    </w:p>
    <w:p w:rsidR="0082140E" w:rsidRDefault="0082140E" w:rsidP="0082140E">
      <w:pPr>
        <w:ind w:firstLine="720"/>
        <w:jc w:val="both"/>
        <w:rPr>
          <w:szCs w:val="22"/>
        </w:rPr>
      </w:pPr>
      <w:r w:rsidRPr="0082140E">
        <w:rPr>
          <w:szCs w:val="22"/>
        </w:rPr>
        <w:t xml:space="preserve">Člankom 77. Zakona propisane su i </w:t>
      </w:r>
      <w:r>
        <w:rPr>
          <w:szCs w:val="22"/>
        </w:rPr>
        <w:t xml:space="preserve">taksativno navedene </w:t>
      </w:r>
      <w:r w:rsidRPr="0082140E">
        <w:rPr>
          <w:szCs w:val="22"/>
        </w:rPr>
        <w:t>građevine za čiju izgradnju se ne plaća komunalni doprinos, što je isto tako novina u odnosu na prijašnji Zakon</w:t>
      </w:r>
      <w:r w:rsidR="003E3D41">
        <w:rPr>
          <w:szCs w:val="22"/>
        </w:rPr>
        <w:t xml:space="preserve">, što se ovom Odlukom </w:t>
      </w:r>
      <w:r w:rsidR="003E3D41">
        <w:rPr>
          <w:szCs w:val="22"/>
        </w:rPr>
        <w:lastRenderedPageBreak/>
        <w:t>i posebno navodi</w:t>
      </w:r>
      <w:r w:rsidRPr="0082140E">
        <w:rPr>
          <w:szCs w:val="22"/>
        </w:rPr>
        <w:t xml:space="preserve">. Odlukom su propisani </w:t>
      </w:r>
      <w:r>
        <w:rPr>
          <w:szCs w:val="22"/>
        </w:rPr>
        <w:t>i uvjeti</w:t>
      </w:r>
      <w:r w:rsidRPr="0082140E">
        <w:rPr>
          <w:szCs w:val="22"/>
        </w:rPr>
        <w:t xml:space="preserve"> potpunog </w:t>
      </w:r>
      <w:r>
        <w:rPr>
          <w:szCs w:val="22"/>
        </w:rPr>
        <w:t xml:space="preserve">odnosno djelomičnog </w:t>
      </w:r>
      <w:r w:rsidRPr="0082140E">
        <w:rPr>
          <w:szCs w:val="22"/>
        </w:rPr>
        <w:t>oslobađanja plaćanja komunalnog doprinosa (član</w:t>
      </w:r>
      <w:r>
        <w:rPr>
          <w:szCs w:val="22"/>
        </w:rPr>
        <w:t>ci</w:t>
      </w:r>
      <w:r w:rsidRPr="0082140E">
        <w:rPr>
          <w:szCs w:val="22"/>
        </w:rPr>
        <w:t xml:space="preserve"> 20.</w:t>
      </w:r>
      <w:r>
        <w:rPr>
          <w:szCs w:val="22"/>
        </w:rPr>
        <w:t xml:space="preserve">-25. </w:t>
      </w:r>
      <w:r w:rsidRPr="0082140E">
        <w:rPr>
          <w:szCs w:val="22"/>
        </w:rPr>
        <w:t>Odluke)</w:t>
      </w:r>
      <w:r>
        <w:rPr>
          <w:szCs w:val="22"/>
        </w:rPr>
        <w:t>.</w:t>
      </w:r>
    </w:p>
    <w:p w:rsidR="0082140E" w:rsidRPr="0082140E" w:rsidRDefault="0082140E" w:rsidP="0082140E">
      <w:pPr>
        <w:ind w:firstLine="720"/>
        <w:jc w:val="both"/>
        <w:rPr>
          <w:szCs w:val="22"/>
        </w:rPr>
      </w:pPr>
      <w:r w:rsidRPr="0082140E">
        <w:rPr>
          <w:szCs w:val="22"/>
        </w:rPr>
        <w:t>Dosadašnje odredbe Odluke kojima se omogućavalo umanjeno plaćanje komunalnog doprinosa</w:t>
      </w:r>
      <w:r>
        <w:rPr>
          <w:szCs w:val="22"/>
        </w:rPr>
        <w:t>, odnosno</w:t>
      </w:r>
      <w:r w:rsidRPr="0082140E">
        <w:rPr>
          <w:szCs w:val="22"/>
        </w:rPr>
        <w:t xml:space="preserve"> djelomično oslobađan</w:t>
      </w:r>
      <w:r>
        <w:rPr>
          <w:szCs w:val="22"/>
        </w:rPr>
        <w:t>j</w:t>
      </w:r>
      <w:r w:rsidR="00D56377">
        <w:rPr>
          <w:szCs w:val="22"/>
        </w:rPr>
        <w:t>a prenesene su i u novu Odluku.</w:t>
      </w:r>
    </w:p>
    <w:p w:rsidR="0082140E" w:rsidRDefault="0082140E" w:rsidP="00F2275C">
      <w:pPr>
        <w:ind w:firstLine="720"/>
        <w:jc w:val="both"/>
        <w:rPr>
          <w:szCs w:val="22"/>
        </w:rPr>
      </w:pPr>
    </w:p>
    <w:p w:rsidR="00F2275C" w:rsidRDefault="00F2275C" w:rsidP="00F2275C">
      <w:pPr>
        <w:ind w:firstLine="720"/>
        <w:jc w:val="both"/>
        <w:rPr>
          <w:szCs w:val="22"/>
        </w:rPr>
      </w:pPr>
    </w:p>
    <w:p w:rsidR="00F2275C" w:rsidRPr="00185A84" w:rsidRDefault="00F2275C" w:rsidP="00F2275C">
      <w:pPr>
        <w:autoSpaceDE w:val="0"/>
        <w:autoSpaceDN w:val="0"/>
        <w:adjustRightInd w:val="0"/>
        <w:ind w:firstLine="708"/>
        <w:jc w:val="both"/>
        <w:rPr>
          <w:szCs w:val="22"/>
        </w:rPr>
      </w:pPr>
      <w:r w:rsidRPr="00185A84">
        <w:rPr>
          <w:szCs w:val="22"/>
        </w:rPr>
        <w:t>Predlaže se Gradskom vijeću donošenje predložene Odluke.</w:t>
      </w:r>
    </w:p>
    <w:p w:rsidR="00F2275C" w:rsidRPr="00185A84" w:rsidRDefault="00F2275C" w:rsidP="00F2275C">
      <w:pPr>
        <w:autoSpaceDE w:val="0"/>
        <w:autoSpaceDN w:val="0"/>
        <w:adjustRightInd w:val="0"/>
        <w:ind w:firstLine="708"/>
        <w:jc w:val="both"/>
        <w:rPr>
          <w:szCs w:val="22"/>
        </w:rPr>
      </w:pPr>
    </w:p>
    <w:p w:rsidR="00F2275C" w:rsidRPr="00185A84" w:rsidRDefault="00F2275C" w:rsidP="00F2275C">
      <w:pPr>
        <w:jc w:val="right"/>
        <w:rPr>
          <w:rStyle w:val="Naglaeno"/>
          <w:b w:val="0"/>
          <w:szCs w:val="22"/>
        </w:rPr>
      </w:pPr>
      <w:r w:rsidRPr="00185A84">
        <w:rPr>
          <w:rStyle w:val="Naglaeno"/>
          <w:szCs w:val="22"/>
        </w:rPr>
        <w:t>Upravni odjel za urbanizam,</w:t>
      </w:r>
    </w:p>
    <w:p w:rsidR="00F95437" w:rsidRPr="00FF6D6C" w:rsidRDefault="00F2275C" w:rsidP="00FF6D6C">
      <w:pPr>
        <w:jc w:val="right"/>
        <w:rPr>
          <w:b/>
          <w:bCs/>
          <w:szCs w:val="22"/>
        </w:rPr>
      </w:pPr>
      <w:r w:rsidRPr="00185A84">
        <w:rPr>
          <w:rStyle w:val="Naglaeno"/>
          <w:szCs w:val="22"/>
        </w:rPr>
        <w:t>komunalne poslove i zaštitu okoliša</w:t>
      </w:r>
    </w:p>
    <w:sectPr w:rsidR="00F95437" w:rsidRPr="00FF6D6C" w:rsidSect="00FF6D6C">
      <w:headerReference w:type="default" r:id="rId7"/>
      <w:footerReference w:type="default" r:id="rId8"/>
      <w:pgSz w:w="11906" w:h="16838"/>
      <w:pgMar w:top="426" w:right="707" w:bottom="568" w:left="1418" w:header="421"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76F" w:rsidRDefault="00A4576F" w:rsidP="004C2318">
      <w:r>
        <w:separator/>
      </w:r>
    </w:p>
  </w:endnote>
  <w:endnote w:type="continuationSeparator" w:id="0">
    <w:p w:rsidR="00A4576F" w:rsidRDefault="00A4576F" w:rsidP="004C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318" w:rsidRDefault="004C2318">
    <w:pPr>
      <w:pStyle w:val="Podnoje"/>
      <w:jc w:val="right"/>
    </w:pPr>
  </w:p>
  <w:p w:rsidR="004C2318" w:rsidRDefault="004C231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76F" w:rsidRDefault="00A4576F" w:rsidP="004C2318">
      <w:r>
        <w:separator/>
      </w:r>
    </w:p>
  </w:footnote>
  <w:footnote w:type="continuationSeparator" w:id="0">
    <w:p w:rsidR="00A4576F" w:rsidRDefault="00A4576F" w:rsidP="004C2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05" w:rsidRDefault="005E7E05" w:rsidP="005E7E05">
    <w:pPr>
      <w:pStyle w:val="Zaglavlj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2088A"/>
    <w:multiLevelType w:val="hybridMultilevel"/>
    <w:tmpl w:val="E75AF270"/>
    <w:lvl w:ilvl="0" w:tplc="D2848E8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29EE3E6C"/>
    <w:multiLevelType w:val="multilevel"/>
    <w:tmpl w:val="D304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4549E"/>
    <w:multiLevelType w:val="hybridMultilevel"/>
    <w:tmpl w:val="5DCE389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 w15:restartNumberingAfterBreak="0">
    <w:nsid w:val="376B4DA0"/>
    <w:multiLevelType w:val="multilevel"/>
    <w:tmpl w:val="80E8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05C04"/>
    <w:multiLevelType w:val="hybridMultilevel"/>
    <w:tmpl w:val="4F527D0E"/>
    <w:lvl w:ilvl="0" w:tplc="616C07B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3F091023"/>
    <w:multiLevelType w:val="hybridMultilevel"/>
    <w:tmpl w:val="E326B254"/>
    <w:lvl w:ilvl="0" w:tplc="8344566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FA854B7"/>
    <w:multiLevelType w:val="hybridMultilevel"/>
    <w:tmpl w:val="72E8BBB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42602CE5"/>
    <w:multiLevelType w:val="hybridMultilevel"/>
    <w:tmpl w:val="417478D2"/>
    <w:lvl w:ilvl="0" w:tplc="B972F57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546F707C"/>
    <w:multiLevelType w:val="hybridMultilevel"/>
    <w:tmpl w:val="8F16DB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F2378F"/>
    <w:multiLevelType w:val="hybridMultilevel"/>
    <w:tmpl w:val="7736B7F0"/>
    <w:lvl w:ilvl="0" w:tplc="171CE1B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59F420B2"/>
    <w:multiLevelType w:val="multilevel"/>
    <w:tmpl w:val="E3B8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8"/>
  </w:num>
  <w:num w:numId="5">
    <w:abstractNumId w:val="4"/>
  </w:num>
  <w:num w:numId="6">
    <w:abstractNumId w:val="7"/>
  </w:num>
  <w:num w:numId="7">
    <w:abstractNumId w:val="5"/>
  </w:num>
  <w:num w:numId="8">
    <w:abstractNumId w:val="3"/>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6F"/>
    <w:rsid w:val="00016F23"/>
    <w:rsid w:val="00020E81"/>
    <w:rsid w:val="0003523E"/>
    <w:rsid w:val="00035981"/>
    <w:rsid w:val="00045B61"/>
    <w:rsid w:val="00052596"/>
    <w:rsid w:val="000540DA"/>
    <w:rsid w:val="0005584C"/>
    <w:rsid w:val="00055D2B"/>
    <w:rsid w:val="00074C08"/>
    <w:rsid w:val="00074DB8"/>
    <w:rsid w:val="00090CF1"/>
    <w:rsid w:val="000A4FD6"/>
    <w:rsid w:val="000B4725"/>
    <w:rsid w:val="000B4BB6"/>
    <w:rsid w:val="000C3570"/>
    <w:rsid w:val="000C4B6C"/>
    <w:rsid w:val="000C5937"/>
    <w:rsid w:val="000E1522"/>
    <w:rsid w:val="000E1E05"/>
    <w:rsid w:val="000E6F1A"/>
    <w:rsid w:val="000E7D02"/>
    <w:rsid w:val="001031EB"/>
    <w:rsid w:val="00114F4E"/>
    <w:rsid w:val="00124380"/>
    <w:rsid w:val="001271AB"/>
    <w:rsid w:val="00146E03"/>
    <w:rsid w:val="00151B3D"/>
    <w:rsid w:val="00151D06"/>
    <w:rsid w:val="001561F3"/>
    <w:rsid w:val="00171F9E"/>
    <w:rsid w:val="00174D8D"/>
    <w:rsid w:val="00175F35"/>
    <w:rsid w:val="00180BE7"/>
    <w:rsid w:val="001840C1"/>
    <w:rsid w:val="00186C9B"/>
    <w:rsid w:val="001912FE"/>
    <w:rsid w:val="00191E2C"/>
    <w:rsid w:val="00196856"/>
    <w:rsid w:val="00197E8A"/>
    <w:rsid w:val="001A4AF8"/>
    <w:rsid w:val="001B4ACC"/>
    <w:rsid w:val="001C4373"/>
    <w:rsid w:val="001D00AE"/>
    <w:rsid w:val="001D5619"/>
    <w:rsid w:val="001E2568"/>
    <w:rsid w:val="001F0121"/>
    <w:rsid w:val="001F5B86"/>
    <w:rsid w:val="002003A2"/>
    <w:rsid w:val="00216398"/>
    <w:rsid w:val="002167BF"/>
    <w:rsid w:val="0022024A"/>
    <w:rsid w:val="0022384B"/>
    <w:rsid w:val="002241BF"/>
    <w:rsid w:val="002245C5"/>
    <w:rsid w:val="00224635"/>
    <w:rsid w:val="002263D2"/>
    <w:rsid w:val="00227DDE"/>
    <w:rsid w:val="0023083D"/>
    <w:rsid w:val="00232A58"/>
    <w:rsid w:val="002346F6"/>
    <w:rsid w:val="0024069B"/>
    <w:rsid w:val="00251460"/>
    <w:rsid w:val="002652E3"/>
    <w:rsid w:val="002A420F"/>
    <w:rsid w:val="002B2AB3"/>
    <w:rsid w:val="002B66C1"/>
    <w:rsid w:val="002B6AF3"/>
    <w:rsid w:val="002B79E9"/>
    <w:rsid w:val="002C1C60"/>
    <w:rsid w:val="002E4797"/>
    <w:rsid w:val="00301F0C"/>
    <w:rsid w:val="003071EC"/>
    <w:rsid w:val="003105AE"/>
    <w:rsid w:val="003146D9"/>
    <w:rsid w:val="003164C9"/>
    <w:rsid w:val="00330E0B"/>
    <w:rsid w:val="00333B5C"/>
    <w:rsid w:val="003474CC"/>
    <w:rsid w:val="003477DF"/>
    <w:rsid w:val="00362100"/>
    <w:rsid w:val="003645A9"/>
    <w:rsid w:val="00377AA5"/>
    <w:rsid w:val="00380F8E"/>
    <w:rsid w:val="0038121B"/>
    <w:rsid w:val="00384C8F"/>
    <w:rsid w:val="00391569"/>
    <w:rsid w:val="00392CAC"/>
    <w:rsid w:val="00397686"/>
    <w:rsid w:val="003A099D"/>
    <w:rsid w:val="003B0276"/>
    <w:rsid w:val="003D7107"/>
    <w:rsid w:val="003E3D41"/>
    <w:rsid w:val="003E7219"/>
    <w:rsid w:val="003F2BA6"/>
    <w:rsid w:val="003F5A9F"/>
    <w:rsid w:val="003F6B13"/>
    <w:rsid w:val="004022EC"/>
    <w:rsid w:val="00404A72"/>
    <w:rsid w:val="004220F4"/>
    <w:rsid w:val="004225FE"/>
    <w:rsid w:val="00435B9C"/>
    <w:rsid w:val="00445146"/>
    <w:rsid w:val="00460C43"/>
    <w:rsid w:val="00460C5E"/>
    <w:rsid w:val="004610FF"/>
    <w:rsid w:val="004616BC"/>
    <w:rsid w:val="0046628F"/>
    <w:rsid w:val="00487481"/>
    <w:rsid w:val="00491969"/>
    <w:rsid w:val="00492B64"/>
    <w:rsid w:val="00492DA2"/>
    <w:rsid w:val="0049485D"/>
    <w:rsid w:val="004959F5"/>
    <w:rsid w:val="004A2319"/>
    <w:rsid w:val="004A4456"/>
    <w:rsid w:val="004B4AFB"/>
    <w:rsid w:val="004B6B31"/>
    <w:rsid w:val="004B6B83"/>
    <w:rsid w:val="004C2318"/>
    <w:rsid w:val="004C6193"/>
    <w:rsid w:val="004D3193"/>
    <w:rsid w:val="004D56A7"/>
    <w:rsid w:val="004E62A5"/>
    <w:rsid w:val="004F2086"/>
    <w:rsid w:val="004F6D1B"/>
    <w:rsid w:val="005030E8"/>
    <w:rsid w:val="00521334"/>
    <w:rsid w:val="00525F69"/>
    <w:rsid w:val="005356F6"/>
    <w:rsid w:val="005370F6"/>
    <w:rsid w:val="00537E2E"/>
    <w:rsid w:val="00540081"/>
    <w:rsid w:val="00543EF3"/>
    <w:rsid w:val="00547851"/>
    <w:rsid w:val="005510B6"/>
    <w:rsid w:val="0055187F"/>
    <w:rsid w:val="00552FEC"/>
    <w:rsid w:val="00554EDC"/>
    <w:rsid w:val="00555343"/>
    <w:rsid w:val="0056182D"/>
    <w:rsid w:val="00571C7C"/>
    <w:rsid w:val="0057427D"/>
    <w:rsid w:val="00584E6D"/>
    <w:rsid w:val="005959E8"/>
    <w:rsid w:val="00595CFB"/>
    <w:rsid w:val="005B0B50"/>
    <w:rsid w:val="005D01EC"/>
    <w:rsid w:val="005D2983"/>
    <w:rsid w:val="005D4C6F"/>
    <w:rsid w:val="005D7C10"/>
    <w:rsid w:val="005E7E05"/>
    <w:rsid w:val="005F0D3B"/>
    <w:rsid w:val="006009C7"/>
    <w:rsid w:val="00607581"/>
    <w:rsid w:val="0062292D"/>
    <w:rsid w:val="0062365C"/>
    <w:rsid w:val="00627F6E"/>
    <w:rsid w:val="00650EF1"/>
    <w:rsid w:val="00667A77"/>
    <w:rsid w:val="00676880"/>
    <w:rsid w:val="00680623"/>
    <w:rsid w:val="00694CEF"/>
    <w:rsid w:val="006A1762"/>
    <w:rsid w:val="006B10D2"/>
    <w:rsid w:val="006B5803"/>
    <w:rsid w:val="006C5137"/>
    <w:rsid w:val="006C6362"/>
    <w:rsid w:val="006D0620"/>
    <w:rsid w:val="006D3125"/>
    <w:rsid w:val="006D3718"/>
    <w:rsid w:val="006D43FF"/>
    <w:rsid w:val="006D74AF"/>
    <w:rsid w:val="00703690"/>
    <w:rsid w:val="00703941"/>
    <w:rsid w:val="00715DF6"/>
    <w:rsid w:val="00740347"/>
    <w:rsid w:val="007412AE"/>
    <w:rsid w:val="00751AF8"/>
    <w:rsid w:val="007524DB"/>
    <w:rsid w:val="00754785"/>
    <w:rsid w:val="0075485D"/>
    <w:rsid w:val="00755DD3"/>
    <w:rsid w:val="007737E8"/>
    <w:rsid w:val="00776D62"/>
    <w:rsid w:val="00792C27"/>
    <w:rsid w:val="00796FA9"/>
    <w:rsid w:val="007A3ECA"/>
    <w:rsid w:val="007A6C42"/>
    <w:rsid w:val="007A6E48"/>
    <w:rsid w:val="007B7074"/>
    <w:rsid w:val="007B746C"/>
    <w:rsid w:val="007C60E3"/>
    <w:rsid w:val="007D44F1"/>
    <w:rsid w:val="007D5043"/>
    <w:rsid w:val="007E081A"/>
    <w:rsid w:val="007E55E2"/>
    <w:rsid w:val="008040B2"/>
    <w:rsid w:val="00805D3F"/>
    <w:rsid w:val="0080659E"/>
    <w:rsid w:val="008146AF"/>
    <w:rsid w:val="0082140E"/>
    <w:rsid w:val="008262BA"/>
    <w:rsid w:val="008336A5"/>
    <w:rsid w:val="00844193"/>
    <w:rsid w:val="00845D72"/>
    <w:rsid w:val="00854E0B"/>
    <w:rsid w:val="00854FC3"/>
    <w:rsid w:val="00872A0F"/>
    <w:rsid w:val="008746C3"/>
    <w:rsid w:val="0088438D"/>
    <w:rsid w:val="00885497"/>
    <w:rsid w:val="008867D2"/>
    <w:rsid w:val="0089237A"/>
    <w:rsid w:val="00894F25"/>
    <w:rsid w:val="008A31B5"/>
    <w:rsid w:val="008A4B36"/>
    <w:rsid w:val="008B1CFF"/>
    <w:rsid w:val="008B1ECF"/>
    <w:rsid w:val="008B2303"/>
    <w:rsid w:val="008B3657"/>
    <w:rsid w:val="008B674F"/>
    <w:rsid w:val="008C5661"/>
    <w:rsid w:val="008C5F99"/>
    <w:rsid w:val="008D2325"/>
    <w:rsid w:val="008D2727"/>
    <w:rsid w:val="008D6E1A"/>
    <w:rsid w:val="008E42E8"/>
    <w:rsid w:val="008E7890"/>
    <w:rsid w:val="008F3F6F"/>
    <w:rsid w:val="00902E7B"/>
    <w:rsid w:val="00903BD5"/>
    <w:rsid w:val="00905BCB"/>
    <w:rsid w:val="009060BC"/>
    <w:rsid w:val="00917648"/>
    <w:rsid w:val="00922E2E"/>
    <w:rsid w:val="00927304"/>
    <w:rsid w:val="009347CE"/>
    <w:rsid w:val="009361CB"/>
    <w:rsid w:val="00940F18"/>
    <w:rsid w:val="009506A7"/>
    <w:rsid w:val="00961C21"/>
    <w:rsid w:val="0096251B"/>
    <w:rsid w:val="00970AA1"/>
    <w:rsid w:val="00971166"/>
    <w:rsid w:val="009717DB"/>
    <w:rsid w:val="00974E36"/>
    <w:rsid w:val="00975E39"/>
    <w:rsid w:val="00996031"/>
    <w:rsid w:val="00996057"/>
    <w:rsid w:val="00996275"/>
    <w:rsid w:val="009A1271"/>
    <w:rsid w:val="009A5ECC"/>
    <w:rsid w:val="009B29E0"/>
    <w:rsid w:val="009B5B9D"/>
    <w:rsid w:val="009B7B3C"/>
    <w:rsid w:val="009C43D1"/>
    <w:rsid w:val="009D03C3"/>
    <w:rsid w:val="009F13CE"/>
    <w:rsid w:val="009F36B2"/>
    <w:rsid w:val="00A11E00"/>
    <w:rsid w:val="00A11FAA"/>
    <w:rsid w:val="00A121A8"/>
    <w:rsid w:val="00A26DDD"/>
    <w:rsid w:val="00A319CA"/>
    <w:rsid w:val="00A3288B"/>
    <w:rsid w:val="00A438DE"/>
    <w:rsid w:val="00A4576F"/>
    <w:rsid w:val="00A51BAD"/>
    <w:rsid w:val="00A55C5B"/>
    <w:rsid w:val="00A562F4"/>
    <w:rsid w:val="00A577BF"/>
    <w:rsid w:val="00A64A5B"/>
    <w:rsid w:val="00A73A91"/>
    <w:rsid w:val="00A81A2C"/>
    <w:rsid w:val="00A90307"/>
    <w:rsid w:val="00A95E9E"/>
    <w:rsid w:val="00AA1D6D"/>
    <w:rsid w:val="00AC0025"/>
    <w:rsid w:val="00AC38BE"/>
    <w:rsid w:val="00AD12C4"/>
    <w:rsid w:val="00AE171F"/>
    <w:rsid w:val="00B1762A"/>
    <w:rsid w:val="00B17FB1"/>
    <w:rsid w:val="00B319A7"/>
    <w:rsid w:val="00B325F1"/>
    <w:rsid w:val="00B37878"/>
    <w:rsid w:val="00B4176D"/>
    <w:rsid w:val="00B442DC"/>
    <w:rsid w:val="00B507C5"/>
    <w:rsid w:val="00B5228B"/>
    <w:rsid w:val="00B54F8D"/>
    <w:rsid w:val="00B6129A"/>
    <w:rsid w:val="00B71017"/>
    <w:rsid w:val="00B9186E"/>
    <w:rsid w:val="00B94244"/>
    <w:rsid w:val="00B94266"/>
    <w:rsid w:val="00B94B66"/>
    <w:rsid w:val="00B96961"/>
    <w:rsid w:val="00B9736E"/>
    <w:rsid w:val="00BB6571"/>
    <w:rsid w:val="00BE2DE9"/>
    <w:rsid w:val="00BF0B7B"/>
    <w:rsid w:val="00BF76D8"/>
    <w:rsid w:val="00C04D30"/>
    <w:rsid w:val="00C14F34"/>
    <w:rsid w:val="00C2381D"/>
    <w:rsid w:val="00C3291B"/>
    <w:rsid w:val="00C54B9B"/>
    <w:rsid w:val="00C56E23"/>
    <w:rsid w:val="00C71B72"/>
    <w:rsid w:val="00C75942"/>
    <w:rsid w:val="00C80348"/>
    <w:rsid w:val="00C843A2"/>
    <w:rsid w:val="00C84CFA"/>
    <w:rsid w:val="00C85D31"/>
    <w:rsid w:val="00C87F1F"/>
    <w:rsid w:val="00CA558E"/>
    <w:rsid w:val="00CB2037"/>
    <w:rsid w:val="00CB6918"/>
    <w:rsid w:val="00CB7951"/>
    <w:rsid w:val="00CC4291"/>
    <w:rsid w:val="00CD4C05"/>
    <w:rsid w:val="00CD6036"/>
    <w:rsid w:val="00CE0A91"/>
    <w:rsid w:val="00CE0CFD"/>
    <w:rsid w:val="00CE3713"/>
    <w:rsid w:val="00CF29A7"/>
    <w:rsid w:val="00CF385D"/>
    <w:rsid w:val="00CF482F"/>
    <w:rsid w:val="00CF59AC"/>
    <w:rsid w:val="00D03BE2"/>
    <w:rsid w:val="00D1080E"/>
    <w:rsid w:val="00D1164A"/>
    <w:rsid w:val="00D24246"/>
    <w:rsid w:val="00D27378"/>
    <w:rsid w:val="00D369E0"/>
    <w:rsid w:val="00D4184E"/>
    <w:rsid w:val="00D42A9B"/>
    <w:rsid w:val="00D43193"/>
    <w:rsid w:val="00D53CFE"/>
    <w:rsid w:val="00D56176"/>
    <w:rsid w:val="00D56377"/>
    <w:rsid w:val="00D56487"/>
    <w:rsid w:val="00D674EC"/>
    <w:rsid w:val="00D70241"/>
    <w:rsid w:val="00D7592A"/>
    <w:rsid w:val="00D82A74"/>
    <w:rsid w:val="00D91D9E"/>
    <w:rsid w:val="00D96E24"/>
    <w:rsid w:val="00DA016F"/>
    <w:rsid w:val="00DA029F"/>
    <w:rsid w:val="00DA53FC"/>
    <w:rsid w:val="00DA6324"/>
    <w:rsid w:val="00DB4E1A"/>
    <w:rsid w:val="00DC2949"/>
    <w:rsid w:val="00DD0890"/>
    <w:rsid w:val="00DD5E8D"/>
    <w:rsid w:val="00DE53A8"/>
    <w:rsid w:val="00DE57BA"/>
    <w:rsid w:val="00DE65B0"/>
    <w:rsid w:val="00DF022D"/>
    <w:rsid w:val="00E175AF"/>
    <w:rsid w:val="00E20871"/>
    <w:rsid w:val="00E20D41"/>
    <w:rsid w:val="00E21927"/>
    <w:rsid w:val="00E24F0A"/>
    <w:rsid w:val="00E51D37"/>
    <w:rsid w:val="00E61469"/>
    <w:rsid w:val="00E65F80"/>
    <w:rsid w:val="00E74389"/>
    <w:rsid w:val="00E768E4"/>
    <w:rsid w:val="00E80BF6"/>
    <w:rsid w:val="00E90765"/>
    <w:rsid w:val="00E94C30"/>
    <w:rsid w:val="00EA3F2B"/>
    <w:rsid w:val="00EA46A9"/>
    <w:rsid w:val="00EB0230"/>
    <w:rsid w:val="00EB1E20"/>
    <w:rsid w:val="00EB42F7"/>
    <w:rsid w:val="00EC0949"/>
    <w:rsid w:val="00ED5881"/>
    <w:rsid w:val="00ED693B"/>
    <w:rsid w:val="00EE3B05"/>
    <w:rsid w:val="00F02DF4"/>
    <w:rsid w:val="00F03E8D"/>
    <w:rsid w:val="00F10854"/>
    <w:rsid w:val="00F2154C"/>
    <w:rsid w:val="00F2275C"/>
    <w:rsid w:val="00F371C5"/>
    <w:rsid w:val="00F43014"/>
    <w:rsid w:val="00F63E31"/>
    <w:rsid w:val="00F74521"/>
    <w:rsid w:val="00F76D2A"/>
    <w:rsid w:val="00F87DE0"/>
    <w:rsid w:val="00F936E7"/>
    <w:rsid w:val="00F95437"/>
    <w:rsid w:val="00FA1EC7"/>
    <w:rsid w:val="00FA7DD6"/>
    <w:rsid w:val="00FB2164"/>
    <w:rsid w:val="00FC011D"/>
    <w:rsid w:val="00FC2A42"/>
    <w:rsid w:val="00FC6DE7"/>
    <w:rsid w:val="00FE0241"/>
    <w:rsid w:val="00FF6D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C74855-5E5B-4593-8F0E-3CA98A59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6F"/>
    <w:rPr>
      <w:rFonts w:ascii="Arial" w:eastAsia="Times New Roman" w:hAnsi="Arial" w:cs="Arial"/>
      <w:sz w:val="22"/>
    </w:rPr>
  </w:style>
  <w:style w:type="paragraph" w:styleId="Naslov2">
    <w:name w:val="heading 2"/>
    <w:basedOn w:val="Normal"/>
    <w:link w:val="Naslov2Char"/>
    <w:uiPriority w:val="9"/>
    <w:qFormat/>
    <w:rsid w:val="00C84CFA"/>
    <w:pPr>
      <w:spacing w:before="100" w:beforeAutospacing="1" w:after="100" w:afterAutospacing="1"/>
      <w:outlineLvl w:val="1"/>
    </w:pPr>
    <w:rPr>
      <w:rFonts w:ascii="Times New Roman" w:hAnsi="Times New Roman" w:cs="Times New Roman"/>
      <w:b/>
      <w:bCs/>
      <w:sz w:val="36"/>
      <w:szCs w:val="36"/>
    </w:rPr>
  </w:style>
  <w:style w:type="paragraph" w:styleId="Naslov3">
    <w:name w:val="heading 3"/>
    <w:basedOn w:val="Normal"/>
    <w:link w:val="Naslov3Char"/>
    <w:uiPriority w:val="9"/>
    <w:qFormat/>
    <w:rsid w:val="00C84CFA"/>
    <w:pPr>
      <w:spacing w:before="100" w:beforeAutospacing="1" w:after="100" w:afterAutospacing="1"/>
      <w:outlineLvl w:val="2"/>
    </w:pPr>
    <w:rPr>
      <w:rFonts w:ascii="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F3F6F"/>
    <w:rPr>
      <w:rFonts w:ascii="Tahoma" w:hAnsi="Tahoma" w:cs="Tahoma"/>
      <w:sz w:val="16"/>
      <w:szCs w:val="16"/>
    </w:rPr>
  </w:style>
  <w:style w:type="character" w:customStyle="1" w:styleId="TekstbaloniaChar">
    <w:name w:val="Tekst balončića Char"/>
    <w:basedOn w:val="Zadanifontodlomka"/>
    <w:link w:val="Tekstbalonia"/>
    <w:uiPriority w:val="99"/>
    <w:semiHidden/>
    <w:rsid w:val="008F3F6F"/>
    <w:rPr>
      <w:rFonts w:ascii="Tahoma" w:eastAsia="Times New Roman" w:hAnsi="Tahoma" w:cs="Tahoma"/>
      <w:sz w:val="16"/>
      <w:szCs w:val="16"/>
      <w:lang w:eastAsia="hr-HR"/>
    </w:rPr>
  </w:style>
  <w:style w:type="paragraph" w:styleId="Odlomakpopisa">
    <w:name w:val="List Paragraph"/>
    <w:basedOn w:val="Normal"/>
    <w:uiPriority w:val="34"/>
    <w:qFormat/>
    <w:rsid w:val="0080659E"/>
    <w:pPr>
      <w:ind w:left="720"/>
      <w:contextualSpacing/>
    </w:pPr>
  </w:style>
  <w:style w:type="table" w:styleId="Reetkatablice">
    <w:name w:val="Table Grid"/>
    <w:basedOn w:val="Obinatablica"/>
    <w:uiPriority w:val="59"/>
    <w:rsid w:val="00B4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B319A7"/>
    <w:rPr>
      <w:rFonts w:asciiTheme="minorHAnsi" w:eastAsiaTheme="minorHAnsi" w:hAnsiTheme="minorHAnsi" w:cstheme="minorBidi"/>
      <w:sz w:val="22"/>
      <w:szCs w:val="22"/>
      <w:lang w:eastAsia="en-US"/>
    </w:rPr>
  </w:style>
  <w:style w:type="paragraph" w:styleId="Zaglavlje">
    <w:name w:val="header"/>
    <w:basedOn w:val="Normal"/>
    <w:link w:val="ZaglavljeChar"/>
    <w:uiPriority w:val="99"/>
    <w:unhideWhenUsed/>
    <w:rsid w:val="004C2318"/>
    <w:pPr>
      <w:tabs>
        <w:tab w:val="center" w:pos="4536"/>
        <w:tab w:val="right" w:pos="9072"/>
      </w:tabs>
    </w:pPr>
  </w:style>
  <w:style w:type="character" w:customStyle="1" w:styleId="ZaglavljeChar">
    <w:name w:val="Zaglavlje Char"/>
    <w:basedOn w:val="Zadanifontodlomka"/>
    <w:link w:val="Zaglavlje"/>
    <w:uiPriority w:val="99"/>
    <w:rsid w:val="004C2318"/>
    <w:rPr>
      <w:rFonts w:ascii="Arial" w:eastAsia="Times New Roman" w:hAnsi="Arial" w:cs="Arial"/>
      <w:sz w:val="22"/>
    </w:rPr>
  </w:style>
  <w:style w:type="paragraph" w:styleId="Podnoje">
    <w:name w:val="footer"/>
    <w:basedOn w:val="Normal"/>
    <w:link w:val="PodnojeChar"/>
    <w:uiPriority w:val="99"/>
    <w:unhideWhenUsed/>
    <w:rsid w:val="004C2318"/>
    <w:pPr>
      <w:tabs>
        <w:tab w:val="center" w:pos="4536"/>
        <w:tab w:val="right" w:pos="9072"/>
      </w:tabs>
    </w:pPr>
  </w:style>
  <w:style w:type="character" w:customStyle="1" w:styleId="PodnojeChar">
    <w:name w:val="Podnožje Char"/>
    <w:basedOn w:val="Zadanifontodlomka"/>
    <w:link w:val="Podnoje"/>
    <w:uiPriority w:val="99"/>
    <w:rsid w:val="004C2318"/>
    <w:rPr>
      <w:rFonts w:ascii="Arial" w:eastAsia="Times New Roman" w:hAnsi="Arial" w:cs="Arial"/>
      <w:sz w:val="22"/>
    </w:rPr>
  </w:style>
  <w:style w:type="character" w:styleId="Naglaeno">
    <w:name w:val="Strong"/>
    <w:basedOn w:val="Zadanifontodlomka"/>
    <w:uiPriority w:val="22"/>
    <w:qFormat/>
    <w:rsid w:val="00384C8F"/>
    <w:rPr>
      <w:b/>
      <w:bCs/>
    </w:rPr>
  </w:style>
  <w:style w:type="character" w:customStyle="1" w:styleId="apple-converted-space">
    <w:name w:val="apple-converted-space"/>
    <w:basedOn w:val="Zadanifontodlomka"/>
    <w:rsid w:val="008E7890"/>
  </w:style>
  <w:style w:type="character" w:styleId="Hiperveza">
    <w:name w:val="Hyperlink"/>
    <w:basedOn w:val="Zadanifontodlomka"/>
    <w:uiPriority w:val="99"/>
    <w:semiHidden/>
    <w:unhideWhenUsed/>
    <w:rsid w:val="008E7890"/>
    <w:rPr>
      <w:color w:val="0000FF"/>
      <w:u w:val="single"/>
    </w:rPr>
  </w:style>
  <w:style w:type="paragraph" w:styleId="StandardWeb">
    <w:name w:val="Normal (Web)"/>
    <w:basedOn w:val="Normal"/>
    <w:uiPriority w:val="99"/>
    <w:semiHidden/>
    <w:unhideWhenUsed/>
    <w:rsid w:val="00391569"/>
    <w:pPr>
      <w:spacing w:before="100" w:beforeAutospacing="1" w:after="100" w:afterAutospacing="1"/>
    </w:pPr>
    <w:rPr>
      <w:rFonts w:ascii="Times New Roman" w:hAnsi="Times New Roman" w:cs="Times New Roman"/>
      <w:sz w:val="24"/>
      <w:szCs w:val="24"/>
    </w:rPr>
  </w:style>
  <w:style w:type="character" w:customStyle="1" w:styleId="Naslov2Char">
    <w:name w:val="Naslov 2 Char"/>
    <w:basedOn w:val="Zadanifontodlomka"/>
    <w:link w:val="Naslov2"/>
    <w:uiPriority w:val="9"/>
    <w:rsid w:val="00C84CFA"/>
    <w:rPr>
      <w:rFonts w:ascii="Times New Roman" w:eastAsia="Times New Roman" w:hAnsi="Times New Roman"/>
      <w:b/>
      <w:bCs/>
      <w:sz w:val="36"/>
      <w:szCs w:val="36"/>
    </w:rPr>
  </w:style>
  <w:style w:type="character" w:customStyle="1" w:styleId="Naslov3Char">
    <w:name w:val="Naslov 3 Char"/>
    <w:basedOn w:val="Zadanifontodlomka"/>
    <w:link w:val="Naslov3"/>
    <w:uiPriority w:val="9"/>
    <w:rsid w:val="00C84CFA"/>
    <w:rPr>
      <w:rFonts w:ascii="Times New Roman" w:eastAsia="Times New Roman" w:hAnsi="Times New Roman"/>
      <w:b/>
      <w:bCs/>
      <w:sz w:val="27"/>
      <w:szCs w:val="27"/>
    </w:rPr>
  </w:style>
  <w:style w:type="paragraph" w:customStyle="1" w:styleId="box458203">
    <w:name w:val="box_458203"/>
    <w:basedOn w:val="Normal"/>
    <w:rsid w:val="000E1E0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735">
      <w:bodyDiv w:val="1"/>
      <w:marLeft w:val="0"/>
      <w:marRight w:val="0"/>
      <w:marTop w:val="0"/>
      <w:marBottom w:val="0"/>
      <w:divBdr>
        <w:top w:val="none" w:sz="0" w:space="0" w:color="auto"/>
        <w:left w:val="none" w:sz="0" w:space="0" w:color="auto"/>
        <w:bottom w:val="none" w:sz="0" w:space="0" w:color="auto"/>
        <w:right w:val="none" w:sz="0" w:space="0" w:color="auto"/>
      </w:divBdr>
    </w:div>
    <w:div w:id="128328492">
      <w:bodyDiv w:val="1"/>
      <w:marLeft w:val="0"/>
      <w:marRight w:val="0"/>
      <w:marTop w:val="0"/>
      <w:marBottom w:val="0"/>
      <w:divBdr>
        <w:top w:val="none" w:sz="0" w:space="0" w:color="auto"/>
        <w:left w:val="none" w:sz="0" w:space="0" w:color="auto"/>
        <w:bottom w:val="none" w:sz="0" w:space="0" w:color="auto"/>
        <w:right w:val="none" w:sz="0" w:space="0" w:color="auto"/>
      </w:divBdr>
    </w:div>
    <w:div w:id="182862392">
      <w:bodyDiv w:val="1"/>
      <w:marLeft w:val="0"/>
      <w:marRight w:val="0"/>
      <w:marTop w:val="0"/>
      <w:marBottom w:val="0"/>
      <w:divBdr>
        <w:top w:val="none" w:sz="0" w:space="0" w:color="auto"/>
        <w:left w:val="none" w:sz="0" w:space="0" w:color="auto"/>
        <w:bottom w:val="none" w:sz="0" w:space="0" w:color="auto"/>
        <w:right w:val="none" w:sz="0" w:space="0" w:color="auto"/>
      </w:divBdr>
    </w:div>
    <w:div w:id="290019582">
      <w:bodyDiv w:val="1"/>
      <w:marLeft w:val="0"/>
      <w:marRight w:val="0"/>
      <w:marTop w:val="0"/>
      <w:marBottom w:val="0"/>
      <w:divBdr>
        <w:top w:val="none" w:sz="0" w:space="0" w:color="auto"/>
        <w:left w:val="none" w:sz="0" w:space="0" w:color="auto"/>
        <w:bottom w:val="none" w:sz="0" w:space="0" w:color="auto"/>
        <w:right w:val="none" w:sz="0" w:space="0" w:color="auto"/>
      </w:divBdr>
    </w:div>
    <w:div w:id="708532960">
      <w:bodyDiv w:val="1"/>
      <w:marLeft w:val="0"/>
      <w:marRight w:val="0"/>
      <w:marTop w:val="0"/>
      <w:marBottom w:val="0"/>
      <w:divBdr>
        <w:top w:val="none" w:sz="0" w:space="0" w:color="auto"/>
        <w:left w:val="none" w:sz="0" w:space="0" w:color="auto"/>
        <w:bottom w:val="none" w:sz="0" w:space="0" w:color="auto"/>
        <w:right w:val="none" w:sz="0" w:space="0" w:color="auto"/>
      </w:divBdr>
    </w:div>
    <w:div w:id="751779056">
      <w:bodyDiv w:val="1"/>
      <w:marLeft w:val="0"/>
      <w:marRight w:val="0"/>
      <w:marTop w:val="0"/>
      <w:marBottom w:val="0"/>
      <w:divBdr>
        <w:top w:val="none" w:sz="0" w:space="0" w:color="auto"/>
        <w:left w:val="none" w:sz="0" w:space="0" w:color="auto"/>
        <w:bottom w:val="none" w:sz="0" w:space="0" w:color="auto"/>
        <w:right w:val="none" w:sz="0" w:space="0" w:color="auto"/>
      </w:divBdr>
    </w:div>
    <w:div w:id="782575181">
      <w:bodyDiv w:val="1"/>
      <w:marLeft w:val="0"/>
      <w:marRight w:val="0"/>
      <w:marTop w:val="0"/>
      <w:marBottom w:val="0"/>
      <w:divBdr>
        <w:top w:val="none" w:sz="0" w:space="0" w:color="auto"/>
        <w:left w:val="none" w:sz="0" w:space="0" w:color="auto"/>
        <w:bottom w:val="none" w:sz="0" w:space="0" w:color="auto"/>
        <w:right w:val="none" w:sz="0" w:space="0" w:color="auto"/>
      </w:divBdr>
    </w:div>
    <w:div w:id="915823547">
      <w:bodyDiv w:val="1"/>
      <w:marLeft w:val="0"/>
      <w:marRight w:val="0"/>
      <w:marTop w:val="0"/>
      <w:marBottom w:val="0"/>
      <w:divBdr>
        <w:top w:val="none" w:sz="0" w:space="0" w:color="auto"/>
        <w:left w:val="none" w:sz="0" w:space="0" w:color="auto"/>
        <w:bottom w:val="none" w:sz="0" w:space="0" w:color="auto"/>
        <w:right w:val="none" w:sz="0" w:space="0" w:color="auto"/>
      </w:divBdr>
    </w:div>
    <w:div w:id="956252121">
      <w:bodyDiv w:val="1"/>
      <w:marLeft w:val="0"/>
      <w:marRight w:val="0"/>
      <w:marTop w:val="0"/>
      <w:marBottom w:val="0"/>
      <w:divBdr>
        <w:top w:val="none" w:sz="0" w:space="0" w:color="auto"/>
        <w:left w:val="none" w:sz="0" w:space="0" w:color="auto"/>
        <w:bottom w:val="none" w:sz="0" w:space="0" w:color="auto"/>
        <w:right w:val="none" w:sz="0" w:space="0" w:color="auto"/>
      </w:divBdr>
    </w:div>
    <w:div w:id="1330215677">
      <w:bodyDiv w:val="1"/>
      <w:marLeft w:val="0"/>
      <w:marRight w:val="0"/>
      <w:marTop w:val="0"/>
      <w:marBottom w:val="0"/>
      <w:divBdr>
        <w:top w:val="none" w:sz="0" w:space="0" w:color="auto"/>
        <w:left w:val="none" w:sz="0" w:space="0" w:color="auto"/>
        <w:bottom w:val="none" w:sz="0" w:space="0" w:color="auto"/>
        <w:right w:val="none" w:sz="0" w:space="0" w:color="auto"/>
      </w:divBdr>
    </w:div>
    <w:div w:id="1711109038">
      <w:bodyDiv w:val="1"/>
      <w:marLeft w:val="0"/>
      <w:marRight w:val="0"/>
      <w:marTop w:val="0"/>
      <w:marBottom w:val="0"/>
      <w:divBdr>
        <w:top w:val="none" w:sz="0" w:space="0" w:color="auto"/>
        <w:left w:val="none" w:sz="0" w:space="0" w:color="auto"/>
        <w:bottom w:val="none" w:sz="0" w:space="0" w:color="auto"/>
        <w:right w:val="none" w:sz="0" w:space="0" w:color="auto"/>
      </w:divBdr>
    </w:div>
    <w:div w:id="1888368750">
      <w:bodyDiv w:val="1"/>
      <w:marLeft w:val="0"/>
      <w:marRight w:val="0"/>
      <w:marTop w:val="0"/>
      <w:marBottom w:val="0"/>
      <w:divBdr>
        <w:top w:val="none" w:sz="0" w:space="0" w:color="auto"/>
        <w:left w:val="none" w:sz="0" w:space="0" w:color="auto"/>
        <w:bottom w:val="none" w:sz="0" w:space="0" w:color="auto"/>
        <w:right w:val="none" w:sz="0" w:space="0" w:color="auto"/>
      </w:divBdr>
    </w:div>
    <w:div w:id="19893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776</Words>
  <Characters>4427</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1</dc:creator>
  <cp:lastModifiedBy>Stjepan Vincek</cp:lastModifiedBy>
  <cp:revision>23</cp:revision>
  <cp:lastPrinted>2019-01-07T10:09:00Z</cp:lastPrinted>
  <dcterms:created xsi:type="dcterms:W3CDTF">2019-01-07T10:10:00Z</dcterms:created>
  <dcterms:modified xsi:type="dcterms:W3CDTF">2019-01-11T12:46:00Z</dcterms:modified>
</cp:coreProperties>
</file>