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137E39" w:rsidRDefault="007D2E0D" w:rsidP="00E064C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37E39">
              <w:rPr>
                <w:rFonts w:ascii="Arial" w:hAnsi="Arial" w:cs="Arial"/>
                <w:b/>
                <w:u w:val="single"/>
              </w:rPr>
              <w:t>NACRTU</w:t>
            </w:r>
            <w:r w:rsidR="00BD1695" w:rsidRPr="00137E39">
              <w:rPr>
                <w:rFonts w:ascii="Arial" w:hAnsi="Arial" w:cs="Arial"/>
                <w:b/>
                <w:u w:val="single"/>
              </w:rPr>
              <w:t xml:space="preserve"> </w:t>
            </w:r>
            <w:r w:rsidR="00F71EF9" w:rsidRPr="00137E39">
              <w:rPr>
                <w:rFonts w:ascii="Arial" w:hAnsi="Arial" w:cs="Arial"/>
                <w:b/>
                <w:u w:val="single"/>
              </w:rPr>
              <w:t xml:space="preserve"> </w:t>
            </w:r>
            <w:r w:rsidR="00137E39" w:rsidRPr="00137E39">
              <w:rPr>
                <w:rFonts w:ascii="Arial" w:hAnsi="Arial" w:cs="Arial"/>
                <w:b/>
                <w:u w:val="single"/>
              </w:rPr>
              <w:t xml:space="preserve">ODLUKE </w:t>
            </w:r>
            <w:r w:rsidR="00137E39" w:rsidRPr="00137E39">
              <w:rPr>
                <w:rFonts w:ascii="Arial" w:eastAsia="Times New Roman" w:hAnsi="Arial" w:cs="Arial"/>
                <w:b/>
                <w:u w:val="single"/>
              </w:rPr>
              <w:t>O MJERAMA ZA SPRJEČAVANJE NEPROPISNOG ODBACIVANJA OTPADA I MJERAMA ZA UKLANJANJE ODBAČENOG OTPADA</w:t>
            </w:r>
            <w:r w:rsidR="00137E39" w:rsidRPr="00137E39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84F9E" w:rsidRPr="00137E39" w:rsidRDefault="00B84F9E" w:rsidP="00E064CF">
            <w:pPr>
              <w:jc w:val="center"/>
              <w:rPr>
                <w:rFonts w:ascii="Arial" w:hAnsi="Arial" w:cs="Arial"/>
              </w:rPr>
            </w:pPr>
            <w:r w:rsidRPr="00137E39">
              <w:rPr>
                <w:rFonts w:ascii="Arial" w:hAnsi="Arial" w:cs="Arial"/>
              </w:rPr>
              <w:t>PUTEM INTERNETSKOG SAVJETOVANJA SA ZAINTERESIRANOM JAVNOŠĆU</w:t>
            </w:r>
          </w:p>
        </w:tc>
      </w:tr>
      <w:tr w:rsidR="00B84F9E" w:rsidRPr="00137E39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137E39" w:rsidRDefault="00B84F9E" w:rsidP="00B84F9E">
            <w:pPr>
              <w:jc w:val="center"/>
              <w:rPr>
                <w:rFonts w:ascii="Arial" w:hAnsi="Arial" w:cs="Arial"/>
              </w:rPr>
            </w:pPr>
            <w:r w:rsidRPr="00137E39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137E39" w:rsidRDefault="00137E39" w:rsidP="00027DBF">
            <w:pPr>
              <w:rPr>
                <w:rFonts w:ascii="Arial" w:hAnsi="Arial" w:cs="Arial"/>
              </w:rPr>
            </w:pPr>
            <w:r w:rsidRPr="00137E39">
              <w:rPr>
                <w:rFonts w:ascii="Arial" w:hAnsi="Arial" w:cs="Arial"/>
              </w:rPr>
              <w:t>Obveza iz Zakona o održivom gospodarenju otpadom („Narodne novine“, br. 94/13, 73/17)</w:t>
            </w:r>
          </w:p>
        </w:tc>
      </w:tr>
      <w:tr w:rsidR="00B84F9E" w:rsidRPr="00137E39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137E39" w:rsidRDefault="00B84F9E" w:rsidP="00B84F9E">
            <w:pPr>
              <w:jc w:val="center"/>
              <w:rPr>
                <w:rFonts w:ascii="Arial" w:hAnsi="Arial" w:cs="Arial"/>
              </w:rPr>
            </w:pPr>
            <w:r w:rsidRPr="00137E39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137E39" w:rsidRDefault="00027DBF" w:rsidP="00137E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37E39">
              <w:rPr>
                <w:rFonts w:ascii="Arial" w:hAnsi="Arial" w:cs="Arial"/>
              </w:rPr>
              <w:t>Cilj provođenja savjetovanja sa zainteresiranom javnošću je upoznavanje javnosti s</w:t>
            </w:r>
            <w:r w:rsidR="00AC581C" w:rsidRPr="00137E39">
              <w:rPr>
                <w:rFonts w:ascii="Arial" w:hAnsi="Arial" w:cs="Arial"/>
              </w:rPr>
              <w:t xml:space="preserve"> </w:t>
            </w:r>
            <w:r w:rsidR="007D2E0D" w:rsidRPr="00137E39">
              <w:rPr>
                <w:rFonts w:ascii="Arial" w:hAnsi="Arial" w:cs="Arial"/>
              </w:rPr>
              <w:t>nacrtom</w:t>
            </w:r>
            <w:r w:rsidR="00AC581C" w:rsidRPr="00137E39">
              <w:rPr>
                <w:rFonts w:ascii="Arial" w:hAnsi="Arial" w:cs="Arial"/>
              </w:rPr>
              <w:t xml:space="preserve"> </w:t>
            </w:r>
            <w:r w:rsidR="00137E39" w:rsidRPr="00137E39">
              <w:rPr>
                <w:rFonts w:ascii="Arial" w:hAnsi="Arial" w:cs="Arial"/>
              </w:rPr>
              <w:t xml:space="preserve"> Odluke </w:t>
            </w:r>
            <w:r w:rsidR="00137E39" w:rsidRPr="00137E39">
              <w:rPr>
                <w:rFonts w:ascii="Arial" w:eastAsia="Times New Roman" w:hAnsi="Arial" w:cs="Arial"/>
              </w:rPr>
              <w:t>o mjerama za sprječavanje nepropisnog odbacivanja otpada i mjerama za uklanjanje odbačenog otpada</w:t>
            </w:r>
            <w:r w:rsidRPr="00137E39">
              <w:rPr>
                <w:rFonts w:ascii="Arial" w:hAnsi="Arial" w:cs="Arial"/>
              </w:rPr>
              <w:t>, te dobivanja mišljenja, primjedbi i prijedloga te eventualno prihvaćanje zakonitih i stručno utemeljenih mišljenja, primjedbi i prijedloga.</w:t>
            </w:r>
          </w:p>
        </w:tc>
      </w:tr>
      <w:tr w:rsidR="00B84F9E" w:rsidRPr="00137E39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137E39" w:rsidRDefault="00B84F9E" w:rsidP="00B84F9E">
            <w:pPr>
              <w:jc w:val="center"/>
              <w:rPr>
                <w:rFonts w:ascii="Arial" w:hAnsi="Arial" w:cs="Arial"/>
              </w:rPr>
            </w:pPr>
            <w:r w:rsidRPr="00137E39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7915B0" w:rsidRPr="00137E39" w:rsidRDefault="007915B0" w:rsidP="00086B5D">
            <w:pPr>
              <w:rPr>
                <w:rFonts w:ascii="Arial" w:hAnsi="Arial" w:cs="Arial"/>
              </w:rPr>
            </w:pPr>
          </w:p>
          <w:p w:rsidR="00B84F9E" w:rsidRPr="00137E39" w:rsidRDefault="00BD1695" w:rsidP="00086B5D">
            <w:pPr>
              <w:rPr>
                <w:rFonts w:ascii="Arial" w:hAnsi="Arial" w:cs="Arial"/>
              </w:rPr>
            </w:pPr>
            <w:r w:rsidRPr="00137E39">
              <w:rPr>
                <w:rFonts w:ascii="Arial" w:hAnsi="Arial" w:cs="Arial"/>
              </w:rPr>
              <w:t xml:space="preserve">Od </w:t>
            </w:r>
            <w:r w:rsidR="00137E39">
              <w:rPr>
                <w:rFonts w:ascii="Arial" w:hAnsi="Arial" w:cs="Arial"/>
              </w:rPr>
              <w:t>17</w:t>
            </w:r>
            <w:r w:rsidR="00F86B56" w:rsidRPr="00137E39">
              <w:rPr>
                <w:rFonts w:ascii="Arial" w:hAnsi="Arial" w:cs="Arial"/>
              </w:rPr>
              <w:t>.</w:t>
            </w:r>
            <w:r w:rsidR="0089795E" w:rsidRPr="00137E39">
              <w:rPr>
                <w:rFonts w:ascii="Arial" w:hAnsi="Arial" w:cs="Arial"/>
              </w:rPr>
              <w:t xml:space="preserve"> </w:t>
            </w:r>
            <w:r w:rsidR="00137E39">
              <w:rPr>
                <w:rFonts w:ascii="Arial" w:hAnsi="Arial" w:cs="Arial"/>
              </w:rPr>
              <w:t>siječnja</w:t>
            </w:r>
            <w:r w:rsidR="00D87A7D" w:rsidRPr="00137E39">
              <w:rPr>
                <w:rFonts w:ascii="Arial" w:hAnsi="Arial" w:cs="Arial"/>
              </w:rPr>
              <w:t xml:space="preserve"> </w:t>
            </w:r>
            <w:r w:rsidRPr="00137E39">
              <w:rPr>
                <w:rFonts w:ascii="Arial" w:hAnsi="Arial" w:cs="Arial"/>
              </w:rPr>
              <w:t xml:space="preserve">do </w:t>
            </w:r>
            <w:r w:rsidR="004B5474" w:rsidRPr="00137E39">
              <w:rPr>
                <w:rFonts w:ascii="Arial" w:hAnsi="Arial" w:cs="Arial"/>
              </w:rPr>
              <w:t>2</w:t>
            </w:r>
            <w:r w:rsidR="00137E39">
              <w:rPr>
                <w:rFonts w:ascii="Arial" w:hAnsi="Arial" w:cs="Arial"/>
              </w:rPr>
              <w:t>7</w:t>
            </w:r>
            <w:r w:rsidR="00B66482" w:rsidRPr="00137E39">
              <w:rPr>
                <w:rFonts w:ascii="Arial" w:hAnsi="Arial" w:cs="Arial"/>
              </w:rPr>
              <w:t xml:space="preserve">. </w:t>
            </w:r>
            <w:r w:rsidR="00137E39">
              <w:rPr>
                <w:rFonts w:ascii="Arial" w:hAnsi="Arial" w:cs="Arial"/>
              </w:rPr>
              <w:t xml:space="preserve">siječnja </w:t>
            </w:r>
            <w:r w:rsidR="00F744AC" w:rsidRPr="00137E39">
              <w:rPr>
                <w:rFonts w:ascii="Arial" w:hAnsi="Arial" w:cs="Arial"/>
              </w:rPr>
              <w:t>201</w:t>
            </w:r>
            <w:r w:rsidR="00137E39">
              <w:rPr>
                <w:rFonts w:ascii="Arial" w:hAnsi="Arial" w:cs="Arial"/>
              </w:rPr>
              <w:t>8</w:t>
            </w:r>
            <w:r w:rsidR="00F744AC" w:rsidRPr="00137E39">
              <w:rPr>
                <w:rFonts w:ascii="Arial" w:hAnsi="Arial" w:cs="Arial"/>
              </w:rPr>
              <w:t>. godine</w:t>
            </w:r>
          </w:p>
          <w:p w:rsidR="002F042E" w:rsidRPr="00137E39" w:rsidRDefault="002F042E" w:rsidP="00137E39">
            <w:pPr>
              <w:jc w:val="both"/>
              <w:rPr>
                <w:rFonts w:ascii="Arial" w:hAnsi="Arial" w:cs="Arial"/>
              </w:rPr>
            </w:pPr>
            <w:r w:rsidRPr="00137E39">
              <w:rPr>
                <w:rFonts w:ascii="Arial" w:hAnsi="Arial" w:cs="Arial"/>
              </w:rPr>
              <w:t xml:space="preserve">Razdoblje internetskog savjetovanja trajati će ukupno </w:t>
            </w:r>
            <w:r w:rsidR="004B5474" w:rsidRPr="00137E39">
              <w:rPr>
                <w:rFonts w:ascii="Arial" w:hAnsi="Arial" w:cs="Arial"/>
              </w:rPr>
              <w:t>10</w:t>
            </w:r>
            <w:r w:rsidRPr="00137E39">
              <w:rPr>
                <w:rFonts w:ascii="Arial" w:hAnsi="Arial" w:cs="Arial"/>
              </w:rPr>
              <w:t xml:space="preserve"> dana kako bi se omogućilo da se Prijedlog </w:t>
            </w:r>
            <w:r w:rsidR="00137E39">
              <w:rPr>
                <w:rFonts w:ascii="Arial" w:hAnsi="Arial" w:cs="Arial"/>
              </w:rPr>
              <w:t xml:space="preserve">Odluke </w:t>
            </w:r>
            <w:r w:rsidRPr="00137E39">
              <w:rPr>
                <w:rFonts w:ascii="Arial" w:hAnsi="Arial" w:cs="Arial"/>
              </w:rPr>
              <w:t xml:space="preserve">uputi Gradskom vijeću na donošenje na sjednici koja će se održati do kraja </w:t>
            </w:r>
            <w:r w:rsidR="00137E39">
              <w:rPr>
                <w:rFonts w:ascii="Arial" w:hAnsi="Arial" w:cs="Arial"/>
              </w:rPr>
              <w:t xml:space="preserve">siječnja </w:t>
            </w:r>
            <w:r w:rsidRPr="00137E39">
              <w:rPr>
                <w:rFonts w:ascii="Arial" w:hAnsi="Arial" w:cs="Arial"/>
              </w:rPr>
              <w:t xml:space="preserve"> 201</w:t>
            </w:r>
            <w:r w:rsidR="00137E39">
              <w:rPr>
                <w:rFonts w:ascii="Arial" w:hAnsi="Arial" w:cs="Arial"/>
              </w:rPr>
              <w:t>8</w:t>
            </w:r>
            <w:r w:rsidRPr="00137E39">
              <w:rPr>
                <w:rFonts w:ascii="Arial" w:hAnsi="Arial" w:cs="Arial"/>
              </w:rPr>
              <w:t xml:space="preserve">. godine. </w:t>
            </w:r>
            <w:r w:rsidR="00A02F81" w:rsidRPr="00137E39">
              <w:rPr>
                <w:rFonts w:ascii="Arial" w:hAnsi="Arial" w:cs="Arial"/>
              </w:rPr>
              <w:t xml:space="preserve">S obzirom na to da se </w:t>
            </w:r>
            <w:r w:rsidR="00137E39">
              <w:rPr>
                <w:rFonts w:ascii="Arial" w:hAnsi="Arial" w:cs="Arial"/>
              </w:rPr>
              <w:t>ovom Odlukom uređuju odredbe koje detaljnije propisuje Zakon,</w:t>
            </w:r>
            <w:r w:rsidR="007915B0" w:rsidRPr="00137E39">
              <w:rPr>
                <w:rFonts w:ascii="Arial" w:hAnsi="Arial" w:cs="Arial"/>
              </w:rPr>
              <w:t xml:space="preserve"> rok savjetovanja biti će kraći od 30 dana.</w:t>
            </w:r>
          </w:p>
        </w:tc>
      </w:tr>
      <w:tr w:rsidR="00B84F9E" w:rsidRPr="00137E39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137E39" w:rsidRDefault="00B84F9E" w:rsidP="00B84F9E">
            <w:pPr>
              <w:jc w:val="center"/>
              <w:rPr>
                <w:rFonts w:ascii="Arial" w:hAnsi="Arial" w:cs="Arial"/>
              </w:rPr>
            </w:pPr>
            <w:r w:rsidRPr="00137E39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137E39" w:rsidRDefault="00BB3239" w:rsidP="00137E39">
            <w:pPr>
              <w:rPr>
                <w:rFonts w:ascii="Arial" w:hAnsi="Arial" w:cs="Arial"/>
              </w:rPr>
            </w:pPr>
            <w:r w:rsidRPr="00137E39">
              <w:rPr>
                <w:rFonts w:ascii="Arial" w:hAnsi="Arial" w:cs="Arial"/>
              </w:rPr>
              <w:t xml:space="preserve">Pisane primjedbe </w:t>
            </w:r>
            <w:r w:rsidR="0031447E" w:rsidRPr="00137E39">
              <w:rPr>
                <w:rFonts w:ascii="Arial" w:hAnsi="Arial" w:cs="Arial"/>
              </w:rPr>
              <w:t xml:space="preserve">na </w:t>
            </w:r>
            <w:r w:rsidR="003F3A7F" w:rsidRPr="00137E39">
              <w:rPr>
                <w:rFonts w:ascii="Arial" w:hAnsi="Arial" w:cs="Arial"/>
              </w:rPr>
              <w:t>prijedlog</w:t>
            </w:r>
            <w:r w:rsidR="00B66482" w:rsidRPr="00137E39">
              <w:rPr>
                <w:rFonts w:ascii="Arial" w:hAnsi="Arial" w:cs="Arial"/>
              </w:rPr>
              <w:t xml:space="preserve"> Programa</w:t>
            </w:r>
            <w:r w:rsidR="008E76BD" w:rsidRPr="00137E39">
              <w:rPr>
                <w:rFonts w:ascii="Arial" w:hAnsi="Arial" w:cs="Arial"/>
              </w:rPr>
              <w:t>,</w:t>
            </w:r>
            <w:r w:rsidR="0031447E" w:rsidRPr="00137E39">
              <w:rPr>
                <w:rFonts w:ascii="Arial" w:hAnsi="Arial" w:cs="Arial"/>
              </w:rPr>
              <w:t xml:space="preserve"> </w:t>
            </w:r>
            <w:r w:rsidRPr="00137E39">
              <w:rPr>
                <w:rFonts w:ascii="Arial" w:hAnsi="Arial" w:cs="Arial"/>
              </w:rPr>
              <w:t xml:space="preserve">dostavljaju se </w:t>
            </w:r>
            <w:r w:rsidR="0031447E" w:rsidRPr="00137E39">
              <w:rPr>
                <w:rFonts w:ascii="Arial" w:hAnsi="Arial" w:cs="Arial"/>
              </w:rPr>
              <w:t xml:space="preserve">na </w:t>
            </w:r>
            <w:r w:rsidR="00456CC3" w:rsidRPr="00137E39">
              <w:rPr>
                <w:rFonts w:ascii="Arial" w:hAnsi="Arial" w:cs="Arial"/>
              </w:rPr>
              <w:t xml:space="preserve">zadanom </w:t>
            </w:r>
            <w:r w:rsidR="0031447E" w:rsidRPr="00137E39">
              <w:rPr>
                <w:rFonts w:ascii="Arial" w:hAnsi="Arial" w:cs="Arial"/>
              </w:rPr>
              <w:t xml:space="preserve">obrascu </w:t>
            </w:r>
            <w:r w:rsidR="00456CC3" w:rsidRPr="00137E39">
              <w:rPr>
                <w:rFonts w:ascii="Arial" w:hAnsi="Arial" w:cs="Arial"/>
              </w:rPr>
              <w:t xml:space="preserve">(u prilogu) i to </w:t>
            </w:r>
            <w:r w:rsidRPr="00137E39">
              <w:rPr>
                <w:rFonts w:ascii="Arial" w:hAnsi="Arial" w:cs="Arial"/>
              </w:rPr>
              <w:t xml:space="preserve">elektroničkom poštom na e-mail: </w:t>
            </w:r>
            <w:hyperlink r:id="rId5" w:history="1">
              <w:r w:rsidR="00137E39" w:rsidRPr="00984687">
                <w:rPr>
                  <w:rStyle w:val="Hiperveza"/>
                  <w:rFonts w:ascii="Arial" w:hAnsi="Arial" w:cs="Arial"/>
                </w:rPr>
                <w:t>marina.hudika@ivanec.hr</w:t>
              </w:r>
            </w:hyperlink>
            <w:r w:rsidR="00DA2DAD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B84F9E" w:rsidRPr="00137E39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137E39" w:rsidRDefault="00BB3239" w:rsidP="00F744AC">
            <w:pPr>
              <w:jc w:val="both"/>
              <w:rPr>
                <w:rFonts w:ascii="Arial" w:hAnsi="Arial" w:cs="Arial"/>
              </w:rPr>
            </w:pPr>
            <w:r w:rsidRPr="00137E39">
              <w:rPr>
                <w:rFonts w:ascii="Arial" w:hAnsi="Arial" w:cs="Arial"/>
              </w:rPr>
              <w:t>Sukladno odredbama članka 11. Zakona o pravu na pristup informacijama („Narodne novine“ broj 25/13</w:t>
            </w:r>
            <w:r w:rsidR="006116B2" w:rsidRPr="00137E39">
              <w:rPr>
                <w:rFonts w:ascii="Arial" w:hAnsi="Arial" w:cs="Arial"/>
              </w:rPr>
              <w:t>, 15/15</w:t>
            </w:r>
            <w:r w:rsidRPr="00137E39">
              <w:rPr>
                <w:rFonts w:ascii="Arial" w:hAnsi="Arial" w:cs="Arial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137E39" w:rsidRDefault="00BD0E94">
      <w:pPr>
        <w:rPr>
          <w:rFonts w:ascii="Arial" w:hAnsi="Arial" w:cs="Arial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7D2E0D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NACRT </w:t>
      </w:r>
      <w:r w:rsidR="008E089F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I</w:t>
      </w:r>
      <w:r w:rsidR="00AD54A7">
        <w:rPr>
          <w:rFonts w:ascii="Times New Roman" w:hAnsi="Times New Roman" w:cs="Times New Roman"/>
          <w:b/>
          <w:u w:val="single"/>
        </w:rPr>
        <w:t>I</w:t>
      </w:r>
      <w:r w:rsidR="0060600F">
        <w:rPr>
          <w:rFonts w:ascii="Times New Roman" w:hAnsi="Times New Roman" w:cs="Times New Roman"/>
          <w:b/>
          <w:u w:val="single"/>
        </w:rPr>
        <w:t>. IZMJENA I DOPUNA</w:t>
      </w:r>
    </w:p>
    <w:p w:rsidR="00E83666" w:rsidRDefault="00E83666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DBF">
        <w:rPr>
          <w:rFonts w:ascii="Times New Roman" w:hAnsi="Times New Roman" w:cs="Times New Roman"/>
          <w:b/>
          <w:u w:val="single"/>
        </w:rPr>
        <w:t>PROGRAM</w:t>
      </w:r>
      <w:r w:rsidR="004608E6">
        <w:rPr>
          <w:rFonts w:ascii="Times New Roman" w:hAnsi="Times New Roman" w:cs="Times New Roman"/>
          <w:b/>
          <w:u w:val="single"/>
        </w:rPr>
        <w:t>A</w:t>
      </w:r>
      <w:r w:rsidRPr="00027DBF">
        <w:rPr>
          <w:rFonts w:ascii="Times New Roman" w:hAnsi="Times New Roman" w:cs="Times New Roman"/>
          <w:b/>
          <w:u w:val="single"/>
        </w:rPr>
        <w:t xml:space="preserve"> GRADNJE OBJEKATA I UREĐAJA KOMUNALNE INFRASTRUKTURE ZA 201</w:t>
      </w:r>
      <w:r w:rsidR="00730ED1">
        <w:rPr>
          <w:rFonts w:ascii="Times New Roman" w:hAnsi="Times New Roman" w:cs="Times New Roman"/>
          <w:b/>
          <w:u w:val="single"/>
        </w:rPr>
        <w:t>7</w:t>
      </w:r>
      <w:r w:rsidRPr="00027DBF">
        <w:rPr>
          <w:rFonts w:ascii="Times New Roman" w:hAnsi="Times New Roman" w:cs="Times New Roman"/>
          <w:b/>
          <w:u w:val="single"/>
        </w:rPr>
        <w:t>. GODINU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0331F"/>
    <w:rsid w:val="00027DBF"/>
    <w:rsid w:val="00062522"/>
    <w:rsid w:val="00086B5D"/>
    <w:rsid w:val="000D5DF8"/>
    <w:rsid w:val="00131300"/>
    <w:rsid w:val="00137E39"/>
    <w:rsid w:val="0014263C"/>
    <w:rsid w:val="001B48B4"/>
    <w:rsid w:val="001B4991"/>
    <w:rsid w:val="001B5D23"/>
    <w:rsid w:val="001B7812"/>
    <w:rsid w:val="001C2D84"/>
    <w:rsid w:val="001F08D3"/>
    <w:rsid w:val="00221799"/>
    <w:rsid w:val="00250EEE"/>
    <w:rsid w:val="00291719"/>
    <w:rsid w:val="002B351B"/>
    <w:rsid w:val="002F042E"/>
    <w:rsid w:val="00300E52"/>
    <w:rsid w:val="0031447E"/>
    <w:rsid w:val="003350A4"/>
    <w:rsid w:val="003A1A1A"/>
    <w:rsid w:val="003F3A7F"/>
    <w:rsid w:val="00456CC3"/>
    <w:rsid w:val="004608E6"/>
    <w:rsid w:val="004645CA"/>
    <w:rsid w:val="004B5474"/>
    <w:rsid w:val="004F25ED"/>
    <w:rsid w:val="00586D93"/>
    <w:rsid w:val="005D68C1"/>
    <w:rsid w:val="0060600F"/>
    <w:rsid w:val="006116B2"/>
    <w:rsid w:val="00674337"/>
    <w:rsid w:val="00691E14"/>
    <w:rsid w:val="00730ED1"/>
    <w:rsid w:val="00750827"/>
    <w:rsid w:val="007915B0"/>
    <w:rsid w:val="007D2E0D"/>
    <w:rsid w:val="007E3124"/>
    <w:rsid w:val="0089795E"/>
    <w:rsid w:val="008D05B9"/>
    <w:rsid w:val="008E089F"/>
    <w:rsid w:val="008E76BD"/>
    <w:rsid w:val="00915522"/>
    <w:rsid w:val="00964448"/>
    <w:rsid w:val="0096692B"/>
    <w:rsid w:val="00973F87"/>
    <w:rsid w:val="00997C87"/>
    <w:rsid w:val="009D23F9"/>
    <w:rsid w:val="00A02F81"/>
    <w:rsid w:val="00A736A4"/>
    <w:rsid w:val="00A908E5"/>
    <w:rsid w:val="00AA6852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D87A7D"/>
    <w:rsid w:val="00DA2DAD"/>
    <w:rsid w:val="00DB4F65"/>
    <w:rsid w:val="00DC0B72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ina.hudika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Hudika</cp:lastModifiedBy>
  <cp:revision>4</cp:revision>
  <cp:lastPrinted>2017-12-11T06:21:00Z</cp:lastPrinted>
  <dcterms:created xsi:type="dcterms:W3CDTF">2018-01-17T11:37:00Z</dcterms:created>
  <dcterms:modified xsi:type="dcterms:W3CDTF">2018-01-17T13:13:00Z</dcterms:modified>
</cp:coreProperties>
</file>