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C31EF2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>
              <w:rPr>
                <w:rFonts w:ascii="Times New Roman" w:hAnsi="Times New Roman" w:cs="Times New Roman"/>
                <w:b/>
                <w:u w:val="single"/>
              </w:rPr>
              <w:t xml:space="preserve">GA ODLUKE O </w:t>
            </w:r>
            <w:r w:rsidR="00C31EF2">
              <w:rPr>
                <w:rFonts w:ascii="Times New Roman" w:hAnsi="Times New Roman" w:cs="Times New Roman"/>
                <w:b/>
                <w:u w:val="single"/>
              </w:rPr>
              <w:t>VISINI KOMUNALNE NAKNADE U GRADU IVANCU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B70CAA">
        <w:trPr>
          <w:trHeight w:val="289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602FA9" w:rsidRPr="00602FA9" w:rsidRDefault="00602FA9" w:rsidP="00602F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Kako</w:t>
            </w:r>
            <w:r w:rsidRPr="00602FA9">
              <w:rPr>
                <w:rFonts w:ascii="Times New Roman" w:hAnsi="Times New Roman" w:cs="Times New Roman"/>
                <w:bCs/>
              </w:rPr>
              <w:t xml:space="preserve"> su se znatno izmijenile komunalne potrebe koje se financiraju iz navedene naknade, i po obujmu i po cijenama, a što ima za rezultat manjak namjenskih prihoda za financiranje obavljanja zakonom propisanih komunalnih djelatnosti, te je manjak sredstava sva</w:t>
            </w:r>
            <w:r>
              <w:rPr>
                <w:rFonts w:ascii="Times New Roman" w:hAnsi="Times New Roman" w:cs="Times New Roman"/>
                <w:bCs/>
              </w:rPr>
              <w:t>ku godinu</w:t>
            </w:r>
            <w:r w:rsidRPr="00602FA9">
              <w:rPr>
                <w:rFonts w:ascii="Times New Roman" w:hAnsi="Times New Roman" w:cs="Times New Roman"/>
                <w:bCs/>
              </w:rPr>
              <w:t xml:space="preserve"> potrebno nadoknađivati iz ostalih proračunskih prihoda, jer prihod od komunalne naknade nije dostatan da bi se mogao ostvariti program održavanja,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2FA9">
              <w:rPr>
                <w:rFonts w:ascii="Times New Roman" w:hAnsi="Times New Roman" w:cs="Times New Roman"/>
                <w:bCs/>
              </w:rPr>
              <w:t xml:space="preserve"> neophodno</w:t>
            </w:r>
            <w:r>
              <w:rPr>
                <w:rFonts w:ascii="Times New Roman" w:hAnsi="Times New Roman" w:cs="Times New Roman"/>
                <w:bCs/>
              </w:rPr>
              <w:t xml:space="preserve"> je</w:t>
            </w:r>
            <w:r w:rsidRPr="00602FA9">
              <w:rPr>
                <w:rFonts w:ascii="Times New Roman" w:hAnsi="Times New Roman" w:cs="Times New Roman"/>
                <w:bCs/>
              </w:rPr>
              <w:t xml:space="preserve"> izmijeniti</w:t>
            </w:r>
            <w:r w:rsidR="00C31EF2">
              <w:rPr>
                <w:rFonts w:ascii="Times New Roman" w:hAnsi="Times New Roman" w:cs="Times New Roman"/>
                <w:bCs/>
              </w:rPr>
              <w:t xml:space="preserve"> vrijednost boda za izračun komunalne naknade, te donijeti </w:t>
            </w:r>
            <w:r w:rsidRPr="00602FA9">
              <w:rPr>
                <w:rFonts w:ascii="Times New Roman" w:hAnsi="Times New Roman" w:cs="Times New Roman"/>
                <w:bCs/>
              </w:rPr>
              <w:t xml:space="preserve">Odluku o </w:t>
            </w:r>
            <w:r w:rsidR="00C31EF2">
              <w:rPr>
                <w:rFonts w:ascii="Times New Roman" w:hAnsi="Times New Roman" w:cs="Times New Roman"/>
                <w:bCs/>
              </w:rPr>
              <w:t>visini komunalne naknade u Gradu Ivancu</w:t>
            </w:r>
            <w:r w:rsidRPr="00602FA9">
              <w:rPr>
                <w:rFonts w:ascii="Times New Roman" w:hAnsi="Times New Roman" w:cs="Times New Roman"/>
                <w:bCs/>
              </w:rPr>
              <w:t>, a sve sa svrhom mogućnosti daljnjeg održavanja razine komunalne infrastrukture u Gradu Ivancu.</w:t>
            </w:r>
          </w:p>
          <w:p w:rsidR="00B84F9E" w:rsidRPr="00B70CAA" w:rsidRDefault="00B84F9E" w:rsidP="003F3A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C31EF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 xml:space="preserve">nosti s Odlukom o </w:t>
            </w:r>
            <w:r w:rsidR="00C31EF2">
              <w:rPr>
                <w:rFonts w:ascii="Times New Roman" w:hAnsi="Times New Roman" w:cs="Times New Roman"/>
              </w:rPr>
              <w:t>visini komunalne naknade u Gradu Ivancu,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C31EF2" w:rsidP="0060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05</w:t>
            </w:r>
            <w:r w:rsidR="00602FA9">
              <w:rPr>
                <w:rFonts w:ascii="Times New Roman" w:hAnsi="Times New Roman" w:cs="Times New Roman"/>
              </w:rPr>
              <w:t>. studenoga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D1695">
              <w:rPr>
                <w:rFonts w:ascii="Times New Roman" w:hAnsi="Times New Roman" w:cs="Times New Roman"/>
              </w:rPr>
              <w:t xml:space="preserve">do 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tudenoga </w:t>
            </w:r>
            <w:r w:rsidR="00F744AC" w:rsidRPr="003F3A7F">
              <w:rPr>
                <w:rFonts w:ascii="Times New Roman" w:hAnsi="Times New Roman" w:cs="Times New Roman"/>
              </w:rPr>
              <w:t>2015.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9229C2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9229C2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89795E" w:rsidP="002B35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ODLUKA O </w:t>
      </w:r>
      <w:r w:rsidR="00C31EF2">
        <w:rPr>
          <w:rFonts w:ascii="Times New Roman" w:hAnsi="Times New Roman" w:cs="Times New Roman"/>
          <w:b/>
          <w:u w:val="single"/>
        </w:rPr>
        <w:t>VISINI KOMUNALNE NAKNADE U GRADU IVANCU</w:t>
      </w: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1B48B4"/>
    <w:rsid w:val="001B7812"/>
    <w:rsid w:val="001C2D84"/>
    <w:rsid w:val="001E34CE"/>
    <w:rsid w:val="00221799"/>
    <w:rsid w:val="002B351B"/>
    <w:rsid w:val="0031447E"/>
    <w:rsid w:val="003F3A7F"/>
    <w:rsid w:val="00456CC3"/>
    <w:rsid w:val="00586D93"/>
    <w:rsid w:val="00602FA9"/>
    <w:rsid w:val="007E3124"/>
    <w:rsid w:val="00826410"/>
    <w:rsid w:val="0089795E"/>
    <w:rsid w:val="00915522"/>
    <w:rsid w:val="009229C2"/>
    <w:rsid w:val="00964448"/>
    <w:rsid w:val="00973F87"/>
    <w:rsid w:val="00997C87"/>
    <w:rsid w:val="009F750C"/>
    <w:rsid w:val="00AF6E9B"/>
    <w:rsid w:val="00B70CAA"/>
    <w:rsid w:val="00B84F9E"/>
    <w:rsid w:val="00BB3239"/>
    <w:rsid w:val="00BD0E94"/>
    <w:rsid w:val="00BD1695"/>
    <w:rsid w:val="00C010E8"/>
    <w:rsid w:val="00C31EF2"/>
    <w:rsid w:val="00D116B0"/>
    <w:rsid w:val="00DF5C40"/>
    <w:rsid w:val="00E61660"/>
    <w:rsid w:val="00E6475E"/>
    <w:rsid w:val="00EF0E23"/>
    <w:rsid w:val="00F605D9"/>
    <w:rsid w:val="00F722C3"/>
    <w:rsid w:val="00F744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Grad Ivanec</cp:lastModifiedBy>
  <cp:revision>2</cp:revision>
  <cp:lastPrinted>2015-11-13T10:26:00Z</cp:lastPrinted>
  <dcterms:created xsi:type="dcterms:W3CDTF">2015-11-13T13:01:00Z</dcterms:created>
  <dcterms:modified xsi:type="dcterms:W3CDTF">2015-11-13T13:01:00Z</dcterms:modified>
</cp:coreProperties>
</file>