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559E3" w14:textId="77777777" w:rsidR="00600E2B" w:rsidRDefault="00000000">
      <w:pPr>
        <w:jc w:val="center"/>
        <w:rPr>
          <w:b/>
          <w:sz w:val="23"/>
          <w:szCs w:val="23"/>
        </w:rPr>
      </w:pPr>
      <w:r>
        <w:rPr>
          <w:b/>
          <w:noProof/>
          <w:sz w:val="23"/>
          <w:szCs w:val="23"/>
        </w:rPr>
        <w:drawing>
          <wp:inline distT="0" distB="0" distL="0" distR="0" wp14:anchorId="72EDD959" wp14:editId="29B81834">
            <wp:extent cx="3334853" cy="188541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334853" cy="1885415"/>
                    </a:xfrm>
                    <a:prstGeom prst="rect">
                      <a:avLst/>
                    </a:prstGeom>
                    <a:ln/>
                  </pic:spPr>
                </pic:pic>
              </a:graphicData>
            </a:graphic>
          </wp:inline>
        </w:drawing>
      </w:r>
    </w:p>
    <w:p w14:paraId="47C9D581" w14:textId="3EC61C3F" w:rsidR="00600E2B" w:rsidRDefault="00600E2B">
      <w:pPr>
        <w:rPr>
          <w:b/>
          <w:sz w:val="23"/>
          <w:szCs w:val="23"/>
        </w:rPr>
      </w:pPr>
    </w:p>
    <w:p w14:paraId="2510A150" w14:textId="77777777" w:rsidR="00600E2B" w:rsidRDefault="00600E2B">
      <w:pPr>
        <w:jc w:val="center"/>
        <w:rPr>
          <w:rFonts w:ascii="Times New Roman" w:eastAsia="Times New Roman" w:hAnsi="Times New Roman" w:cs="Times New Roman"/>
          <w:b/>
          <w:sz w:val="32"/>
          <w:szCs w:val="32"/>
        </w:rPr>
      </w:pPr>
    </w:p>
    <w:p w14:paraId="0A093FAD" w14:textId="77777777" w:rsidR="00600E2B"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Godišnje izvješće o provedbi Provedbenog programa Grada Ivanca za mandatno razdoblje 2021.-2025. godine za razdoblje </w:t>
      </w:r>
      <w:r>
        <w:rPr>
          <w:rFonts w:ascii="Times New Roman" w:eastAsia="Times New Roman" w:hAnsi="Times New Roman" w:cs="Times New Roman"/>
          <w:b/>
          <w:sz w:val="32"/>
          <w:szCs w:val="32"/>
        </w:rPr>
        <w:br/>
        <w:t>od 1. siječnja do 31. prosinca 2024. godine</w:t>
      </w:r>
    </w:p>
    <w:p w14:paraId="1FDC7983" w14:textId="77777777" w:rsidR="00600E2B" w:rsidRDefault="00600E2B">
      <w:pPr>
        <w:jc w:val="center"/>
        <w:rPr>
          <w:rFonts w:ascii="Times New Roman" w:eastAsia="Times New Roman" w:hAnsi="Times New Roman" w:cs="Times New Roman"/>
          <w:b/>
          <w:sz w:val="32"/>
          <w:szCs w:val="32"/>
        </w:rPr>
      </w:pPr>
    </w:p>
    <w:p w14:paraId="682E49C4" w14:textId="77777777" w:rsidR="00600E2B" w:rsidRDefault="00000000">
      <w:pPr>
        <w:jc w:val="center"/>
        <w:rPr>
          <w:rFonts w:ascii="Times New Roman" w:eastAsia="Times New Roman" w:hAnsi="Times New Roman" w:cs="Times New Roman"/>
          <w:sz w:val="28"/>
          <w:szCs w:val="28"/>
        </w:rPr>
      </w:pPr>
      <w:r>
        <w:rPr>
          <w:rFonts w:ascii="Times New Roman" w:eastAsia="Times New Roman" w:hAnsi="Times New Roman" w:cs="Times New Roman"/>
          <w:b/>
          <w:sz w:val="32"/>
          <w:szCs w:val="32"/>
        </w:rPr>
        <w:br/>
      </w:r>
    </w:p>
    <w:p w14:paraId="52D0C05D" w14:textId="77777777" w:rsidR="00600E2B" w:rsidRDefault="00600E2B">
      <w:pPr>
        <w:jc w:val="center"/>
        <w:rPr>
          <w:rFonts w:ascii="Times New Roman" w:eastAsia="Times New Roman" w:hAnsi="Times New Roman" w:cs="Times New Roman"/>
          <w:sz w:val="28"/>
          <w:szCs w:val="28"/>
        </w:rPr>
      </w:pPr>
    </w:p>
    <w:p w14:paraId="2D7099A9" w14:textId="77777777" w:rsidR="00600E2B" w:rsidRDefault="00600E2B">
      <w:pPr>
        <w:jc w:val="center"/>
        <w:rPr>
          <w:rFonts w:ascii="Times New Roman" w:eastAsia="Times New Roman" w:hAnsi="Times New Roman" w:cs="Times New Roman"/>
          <w:sz w:val="28"/>
          <w:szCs w:val="28"/>
        </w:rPr>
      </w:pPr>
    </w:p>
    <w:p w14:paraId="53C3B51F" w14:textId="77777777" w:rsidR="00600E2B" w:rsidRDefault="00600E2B">
      <w:pPr>
        <w:jc w:val="center"/>
        <w:rPr>
          <w:rFonts w:ascii="Times New Roman" w:eastAsia="Times New Roman" w:hAnsi="Times New Roman" w:cs="Times New Roman"/>
          <w:sz w:val="28"/>
          <w:szCs w:val="28"/>
        </w:rPr>
      </w:pPr>
    </w:p>
    <w:p w14:paraId="1608401B" w14:textId="77777777" w:rsidR="00600E2B" w:rsidRDefault="00600E2B">
      <w:pPr>
        <w:jc w:val="center"/>
        <w:rPr>
          <w:rFonts w:ascii="Times New Roman" w:eastAsia="Times New Roman" w:hAnsi="Times New Roman" w:cs="Times New Roman"/>
          <w:sz w:val="28"/>
          <w:szCs w:val="28"/>
        </w:rPr>
      </w:pPr>
    </w:p>
    <w:p w14:paraId="558FF71E" w14:textId="77777777" w:rsidR="00600E2B" w:rsidRDefault="00600E2B">
      <w:pPr>
        <w:jc w:val="center"/>
        <w:rPr>
          <w:rFonts w:ascii="Times New Roman" w:eastAsia="Times New Roman" w:hAnsi="Times New Roman" w:cs="Times New Roman"/>
          <w:sz w:val="28"/>
          <w:szCs w:val="28"/>
        </w:rPr>
      </w:pPr>
    </w:p>
    <w:p w14:paraId="0F08134B" w14:textId="77777777" w:rsidR="00600E2B" w:rsidRDefault="00600E2B">
      <w:pPr>
        <w:jc w:val="center"/>
        <w:rPr>
          <w:rFonts w:ascii="Times New Roman" w:eastAsia="Times New Roman" w:hAnsi="Times New Roman" w:cs="Times New Roman"/>
          <w:sz w:val="28"/>
          <w:szCs w:val="28"/>
        </w:rPr>
      </w:pPr>
    </w:p>
    <w:p w14:paraId="43D8CC1C" w14:textId="77777777" w:rsidR="00600E2B" w:rsidRDefault="00600E2B">
      <w:pPr>
        <w:jc w:val="center"/>
        <w:rPr>
          <w:rFonts w:ascii="Times New Roman" w:eastAsia="Times New Roman" w:hAnsi="Times New Roman" w:cs="Times New Roman"/>
          <w:sz w:val="28"/>
          <w:szCs w:val="28"/>
        </w:rPr>
      </w:pPr>
    </w:p>
    <w:p w14:paraId="6F1B19EC" w14:textId="77777777" w:rsidR="00600E2B" w:rsidRDefault="00600E2B">
      <w:pPr>
        <w:jc w:val="center"/>
        <w:rPr>
          <w:rFonts w:ascii="Times New Roman" w:eastAsia="Times New Roman" w:hAnsi="Times New Roman" w:cs="Times New Roman"/>
          <w:sz w:val="28"/>
          <w:szCs w:val="28"/>
        </w:rPr>
      </w:pPr>
    </w:p>
    <w:p w14:paraId="7DBE6512" w14:textId="77777777" w:rsidR="00600E2B" w:rsidRDefault="00600E2B">
      <w:pPr>
        <w:jc w:val="center"/>
        <w:rPr>
          <w:rFonts w:ascii="Times New Roman" w:eastAsia="Times New Roman" w:hAnsi="Times New Roman" w:cs="Times New Roman"/>
          <w:sz w:val="28"/>
          <w:szCs w:val="28"/>
        </w:rPr>
      </w:pPr>
    </w:p>
    <w:p w14:paraId="0C386AF0" w14:textId="77777777" w:rsidR="00600E2B" w:rsidRDefault="00600E2B">
      <w:pPr>
        <w:jc w:val="center"/>
        <w:rPr>
          <w:rFonts w:ascii="Times New Roman" w:eastAsia="Times New Roman" w:hAnsi="Times New Roman" w:cs="Times New Roman"/>
          <w:sz w:val="28"/>
          <w:szCs w:val="28"/>
        </w:rPr>
      </w:pPr>
    </w:p>
    <w:p w14:paraId="6B6B355A" w14:textId="77777777" w:rsidR="00600E2B" w:rsidRDefault="00600E2B">
      <w:pPr>
        <w:jc w:val="center"/>
        <w:rPr>
          <w:rFonts w:ascii="Times New Roman" w:eastAsia="Times New Roman" w:hAnsi="Times New Roman" w:cs="Times New Roman"/>
          <w:sz w:val="28"/>
          <w:szCs w:val="28"/>
        </w:rPr>
      </w:pPr>
    </w:p>
    <w:p w14:paraId="0AEAB86E" w14:textId="77777777" w:rsidR="00600E2B" w:rsidRDefault="00600E2B">
      <w:pPr>
        <w:jc w:val="center"/>
        <w:rPr>
          <w:rFonts w:ascii="Times New Roman" w:eastAsia="Times New Roman" w:hAnsi="Times New Roman" w:cs="Times New Roman"/>
          <w:sz w:val="28"/>
          <w:szCs w:val="28"/>
        </w:rPr>
      </w:pPr>
    </w:p>
    <w:p w14:paraId="69B21BD1" w14:textId="77777777" w:rsidR="00600E2B" w:rsidRDefault="00000000">
      <w:pPr>
        <w:jc w:val="center"/>
        <w:rPr>
          <w:rFonts w:ascii="Times New Roman" w:eastAsia="Times New Roman" w:hAnsi="Times New Roman" w:cs="Times New Roman"/>
          <w:b/>
          <w:sz w:val="28"/>
          <w:szCs w:val="28"/>
        </w:rPr>
        <w:sectPr w:rsidR="00600E2B">
          <w:footerReference w:type="default" r:id="rId9"/>
          <w:pgSz w:w="11906" w:h="16838"/>
          <w:pgMar w:top="1440" w:right="1440" w:bottom="1440" w:left="1440" w:header="708" w:footer="708" w:gutter="0"/>
          <w:pgNumType w:start="1"/>
          <w:cols w:space="720"/>
        </w:sectPr>
      </w:pPr>
      <w:r>
        <w:rPr>
          <w:rFonts w:ascii="Times New Roman" w:eastAsia="Times New Roman" w:hAnsi="Times New Roman" w:cs="Times New Roman"/>
          <w:b/>
          <w:sz w:val="28"/>
          <w:szCs w:val="28"/>
        </w:rPr>
        <w:t>Veljača 2025.</w:t>
      </w:r>
    </w:p>
    <w:p w14:paraId="70E2022E" w14:textId="77777777" w:rsidR="00600E2B" w:rsidRDefault="00000000">
      <w:pPr>
        <w:numPr>
          <w:ilvl w:val="0"/>
          <w:numId w:val="1"/>
        </w:numPr>
        <w:pBdr>
          <w:top w:val="nil"/>
          <w:left w:val="nil"/>
          <w:bottom w:val="nil"/>
          <w:right w:val="nil"/>
          <w:between w:val="nil"/>
        </w:pBdr>
        <w:spacing w:after="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Pregled stanja u upravnom području</w:t>
      </w:r>
    </w:p>
    <w:p w14:paraId="297A9613" w14:textId="77777777" w:rsidR="00600E2B" w:rsidRDefault="00600E2B">
      <w:pPr>
        <w:spacing w:after="0"/>
        <w:jc w:val="center"/>
        <w:rPr>
          <w:rFonts w:ascii="Times New Roman" w:eastAsia="Times New Roman" w:hAnsi="Times New Roman" w:cs="Times New Roman"/>
          <w:b/>
          <w:sz w:val="28"/>
          <w:szCs w:val="28"/>
        </w:rPr>
      </w:pPr>
    </w:p>
    <w:p w14:paraId="5EDC1803"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Grad Ivanec, jedinica lokalne samouprave na području Varaždinske županije, u prosincu 2021. godine definirala je aktualne strateške ciljeve i prioritete razvoja, a koji su objedinjeni u Provedbeni program Grada Ivanca za mandatno razdoblje 2021. do 2025. godine (SVVZ 122/12). Navedenim kratkoročnim strateško-planskim aktom objedinjene su sve mjere, usklađene s ključnim dokumentima na razini Županije i RH. Provedbeni program jasno je povezan s proračunom Grada Ivanca. </w:t>
      </w:r>
    </w:p>
    <w:p w14:paraId="3C922560"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Sukladno Zakonu o sustavu strateškog planiranja i upravljanja razvojem Republike Hrvatske („Narodne novine“, br. 123/17) i Uredbi o smjernicama za izradu akata strateškog planiranja od nacionalnog značaja i od značaja za jedinice lokalne i područne (regionalne) samouprave („Narodne novine“, br. 89/18), a u skladu s odredbama Pravilnika o rokovima i postupcima praćenja i izvještavanja o provedbi akata strateškog planiranja od nacionalnog značaja i od značaja za jedinice lokalne i područne (regionalne) samouprave („Narodne novine“, br. 6/19), Grad Ivanec dužan je izvještavati o tijeku provedbe mjera i ostvarenju ciljeva definiranih u Provedbenom programu. U skladu s time pripremljeno je predmetno Godišnje izvješće o provedbi provedbenog programa od 1. siječnja do 31. prosinca 2024. godine, izrađeno sukladno Uputama, te će isto biti javno objavljeno na internetskim stranicama Grada Ivanca.</w:t>
      </w:r>
    </w:p>
    <w:p w14:paraId="4DB09822"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Odlukom o pokretanju postupka izrade Provedbenog programa Grada Ivanca za mandatno razdoblje 2021.-2025. godine imenovan je lokalni koordinator (Poslovna zona Ivanec d.o.o.)  te je određeno da su u postupak izrade i praćenja izvršenja Provedbenog programa Grada Ivanca uključeni svi upravni odjeli grada Ivanca. Na razini JLS-a službenom Odlukom oformljeno je i radno tijelo sljedećeg sastava, na čelu s gradonačelnikom kao odgovornom osobom i osobom ovlaštenom za zastupanje: </w:t>
      </w:r>
    </w:p>
    <w:p w14:paraId="0AC93C67"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Milorad Batinić, gradonačelnik grada Ivanca </w:t>
      </w:r>
    </w:p>
    <w:p w14:paraId="651EEC0B"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Marko Friščić, zamjenik gradonačelnika grada Ivanca </w:t>
      </w:r>
    </w:p>
    <w:p w14:paraId="6E525DC6"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Poslovna zona Ivanec d.o.o., gradska tvrtka, poduzetnički centar </w:t>
      </w:r>
    </w:p>
    <w:p w14:paraId="68E477D4"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Maja </w:t>
      </w:r>
      <w:proofErr w:type="spellStart"/>
      <w:r>
        <w:rPr>
          <w:rFonts w:ascii="Times New Roman" w:eastAsia="Times New Roman" w:hAnsi="Times New Roman" w:cs="Times New Roman"/>
          <w:color w:val="000000"/>
          <w:sz w:val="24"/>
          <w:szCs w:val="24"/>
        </w:rPr>
        <w:t>Darabuš</w:t>
      </w:r>
      <w:proofErr w:type="spellEnd"/>
      <w:r>
        <w:rPr>
          <w:rFonts w:ascii="Times New Roman" w:eastAsia="Times New Roman" w:hAnsi="Times New Roman" w:cs="Times New Roman"/>
          <w:color w:val="000000"/>
          <w:sz w:val="24"/>
          <w:szCs w:val="24"/>
        </w:rPr>
        <w:t xml:space="preserve">, pročelnica Upravnog odjela za proračun, financije i gospodarstvo </w:t>
      </w:r>
    </w:p>
    <w:p w14:paraId="1FD5E672"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Stanko </w:t>
      </w:r>
      <w:proofErr w:type="spellStart"/>
      <w:r>
        <w:rPr>
          <w:rFonts w:ascii="Times New Roman" w:eastAsia="Times New Roman" w:hAnsi="Times New Roman" w:cs="Times New Roman"/>
          <w:color w:val="000000"/>
          <w:sz w:val="24"/>
          <w:szCs w:val="24"/>
        </w:rPr>
        <w:t>Rožman</w:t>
      </w:r>
      <w:proofErr w:type="spellEnd"/>
      <w:r>
        <w:rPr>
          <w:rFonts w:ascii="Times New Roman" w:eastAsia="Times New Roman" w:hAnsi="Times New Roman" w:cs="Times New Roman"/>
          <w:color w:val="000000"/>
          <w:sz w:val="24"/>
          <w:szCs w:val="24"/>
        </w:rPr>
        <w:t xml:space="preserve">, pročelnik Upravnog odjela za urbanizam, komunalne poslove i zaštitu okoliša </w:t>
      </w:r>
    </w:p>
    <w:p w14:paraId="6BF66280"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 Jelena Cuković, v.d. pročelnice Upravnog odjela za lokalnu samoupravu, imovinu i javnu nabavu </w:t>
      </w:r>
    </w:p>
    <w:p w14:paraId="662DC674"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 Ljiljana </w:t>
      </w:r>
      <w:proofErr w:type="spellStart"/>
      <w:r>
        <w:rPr>
          <w:rFonts w:ascii="Times New Roman" w:eastAsia="Times New Roman" w:hAnsi="Times New Roman" w:cs="Times New Roman"/>
          <w:color w:val="000000"/>
          <w:sz w:val="24"/>
          <w:szCs w:val="24"/>
        </w:rPr>
        <w:t>Risek</w:t>
      </w:r>
      <w:proofErr w:type="spellEnd"/>
      <w:r>
        <w:rPr>
          <w:rFonts w:ascii="Times New Roman" w:eastAsia="Times New Roman" w:hAnsi="Times New Roman" w:cs="Times New Roman"/>
          <w:color w:val="000000"/>
          <w:sz w:val="24"/>
          <w:szCs w:val="24"/>
        </w:rPr>
        <w:t>, pročelnica Upravnog odjela za poslove gradonačelnika.</w:t>
      </w:r>
    </w:p>
    <w:p w14:paraId="05233705" w14:textId="77777777" w:rsidR="00600E2B" w:rsidRDefault="00600E2B">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33027D5B" w14:textId="77777777" w:rsidR="00600E2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 odnosu na razdoblje pripreme, došlo je do određenih izmjena na čelu pojedinih upravnih odjela i ustrojena je jedna nova služba u Gradu Ivancu. U skladu s time, nastale su izmjene u sastavu radnog tijela - radno tijelo do kraja izvještajnog razdoblja je sljedećeg sastava: </w:t>
      </w:r>
    </w:p>
    <w:p w14:paraId="018FCAED" w14:textId="77777777" w:rsidR="00600E2B" w:rsidRDefault="00600E2B">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468A8CA"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Milorad Batinić, gradonačelnik grada Ivanca </w:t>
      </w:r>
    </w:p>
    <w:p w14:paraId="3E1FF3D3"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Marko Friščić, zamjenik gradonačelnika grada Ivanca </w:t>
      </w:r>
    </w:p>
    <w:p w14:paraId="6AD9AB97"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Poslovna zona Ivanec d.o.o., gradska tvrtka, poduzetnički centar (zastupa direktorica Lana Labaš)</w:t>
      </w:r>
    </w:p>
    <w:p w14:paraId="3B98BAD0"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Dunja </w:t>
      </w:r>
      <w:proofErr w:type="spellStart"/>
      <w:r>
        <w:rPr>
          <w:rFonts w:ascii="Times New Roman" w:eastAsia="Times New Roman" w:hAnsi="Times New Roman" w:cs="Times New Roman"/>
          <w:color w:val="000000"/>
          <w:sz w:val="24"/>
          <w:szCs w:val="24"/>
        </w:rPr>
        <w:t>Cerovčec</w:t>
      </w:r>
      <w:proofErr w:type="spellEnd"/>
      <w:r>
        <w:rPr>
          <w:rFonts w:ascii="Times New Roman" w:eastAsia="Times New Roman" w:hAnsi="Times New Roman" w:cs="Times New Roman"/>
          <w:color w:val="000000"/>
          <w:sz w:val="24"/>
          <w:szCs w:val="24"/>
        </w:rPr>
        <w:t xml:space="preserve">, pročelnica Upravnog odjela za proračun, financije i gospodarstvo </w:t>
      </w:r>
    </w:p>
    <w:p w14:paraId="6D439A3F" w14:textId="77777777" w:rsidR="00600E2B"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Stjepan Vincek, pročelnik Upravnog odjela za urbanizam, komunalne poslove i zaštitu okoliša </w:t>
      </w:r>
    </w:p>
    <w:p w14:paraId="5581572D" w14:textId="77777777" w:rsidR="00600E2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 Irena Kresonja, pročelnica Upravnog odjela za lokalnu samoupravu i imovinu </w:t>
      </w:r>
    </w:p>
    <w:p w14:paraId="5DFA2F97" w14:textId="77777777" w:rsidR="00600E2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 Ljiljana </w:t>
      </w:r>
      <w:proofErr w:type="spellStart"/>
      <w:r>
        <w:rPr>
          <w:rFonts w:ascii="Times New Roman" w:eastAsia="Times New Roman" w:hAnsi="Times New Roman" w:cs="Times New Roman"/>
          <w:color w:val="000000"/>
          <w:sz w:val="24"/>
          <w:szCs w:val="24"/>
        </w:rPr>
        <w:t>Risek</w:t>
      </w:r>
      <w:proofErr w:type="spellEnd"/>
      <w:r>
        <w:rPr>
          <w:rFonts w:ascii="Times New Roman" w:eastAsia="Times New Roman" w:hAnsi="Times New Roman" w:cs="Times New Roman"/>
          <w:color w:val="000000"/>
          <w:sz w:val="24"/>
          <w:szCs w:val="24"/>
        </w:rPr>
        <w:t>, pročelnica Upravnog odjela za poslove gradonačelnika</w:t>
      </w:r>
    </w:p>
    <w:p w14:paraId="62009051" w14:textId="77777777" w:rsidR="00600E2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 Gordana </w:t>
      </w:r>
      <w:proofErr w:type="spellStart"/>
      <w:r>
        <w:rPr>
          <w:rFonts w:ascii="Times New Roman" w:eastAsia="Times New Roman" w:hAnsi="Times New Roman" w:cs="Times New Roman"/>
          <w:color w:val="000000"/>
          <w:sz w:val="24"/>
          <w:szCs w:val="24"/>
        </w:rPr>
        <w:t>Mošmondor</w:t>
      </w:r>
      <w:proofErr w:type="spellEnd"/>
      <w:r>
        <w:rPr>
          <w:rFonts w:ascii="Times New Roman" w:eastAsia="Times New Roman" w:hAnsi="Times New Roman" w:cs="Times New Roman"/>
          <w:color w:val="000000"/>
          <w:sz w:val="24"/>
          <w:szCs w:val="24"/>
        </w:rPr>
        <w:t>, pročelnica Službe za pravne poslove i javnu nabavu.</w:t>
      </w:r>
    </w:p>
    <w:p w14:paraId="4AAD52CF" w14:textId="77777777" w:rsidR="00600E2B" w:rsidRDefault="00600E2B">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64EB1CD" w14:textId="77777777" w:rsidR="00600E2B"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Postojeće odgovorne osobe na razini upravnih odjela stalni su i dugogodišnji zaposlenici Grada Ivanca te njihovo imenovanje ni na koji način ne dovodi u pitanje predviđenu provedbu Programa. Novi zaposlenici posjeduju odgovarajuće formalno obrazovanje i profesionalno iskustvo. </w:t>
      </w:r>
    </w:p>
    <w:p w14:paraId="4408072C" w14:textId="77777777" w:rsidR="00600E2B"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Za vrijeme godišnjeg razdoblja (od 1. siječnja do 31. prosinca 2024. godine) nisu nastale gospodarske, društvene ili političke promjene koje bi imale značajan utjecaj na ostvarenje rezultata Provedbenog programa. </w:t>
      </w:r>
    </w:p>
    <w:p w14:paraId="03080D03" w14:textId="77777777" w:rsidR="00600E2B"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Tijekom izvještajnog razdoblja nastavilo se s provedbom svih definiranih mjera te se iste i dalje kontinuirano izvršavaju.</w:t>
      </w:r>
    </w:p>
    <w:p w14:paraId="66E7E063" w14:textId="77777777" w:rsidR="00600E2B" w:rsidRDefault="00600E2B">
      <w:pPr>
        <w:jc w:val="both"/>
        <w:rPr>
          <w:rFonts w:ascii="Times New Roman" w:eastAsia="Times New Roman" w:hAnsi="Times New Roman" w:cs="Times New Roman"/>
          <w:sz w:val="24"/>
          <w:szCs w:val="24"/>
        </w:rPr>
      </w:pPr>
    </w:p>
    <w:p w14:paraId="68982DED" w14:textId="77777777" w:rsidR="00600E2B" w:rsidRDefault="00000000">
      <w:pPr>
        <w:numPr>
          <w:ilvl w:val="0"/>
          <w:numId w:val="1"/>
        </w:numPr>
        <w:pBdr>
          <w:top w:val="nil"/>
          <w:left w:val="nil"/>
          <w:bottom w:val="nil"/>
          <w:right w:val="nil"/>
          <w:between w:val="nil"/>
        </w:pBdr>
        <w:spacing w:after="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Izvješće o napretku u provedbi mjera</w:t>
      </w:r>
    </w:p>
    <w:p w14:paraId="3126C686" w14:textId="77777777" w:rsidR="00600E2B" w:rsidRDefault="00600E2B">
      <w:pPr>
        <w:pBdr>
          <w:top w:val="nil"/>
          <w:left w:val="nil"/>
          <w:bottom w:val="nil"/>
          <w:right w:val="nil"/>
          <w:between w:val="nil"/>
        </w:pBdr>
        <w:spacing w:after="0"/>
        <w:ind w:left="720"/>
        <w:rPr>
          <w:rFonts w:ascii="Times New Roman" w:eastAsia="Times New Roman" w:hAnsi="Times New Roman" w:cs="Times New Roman"/>
          <w:b/>
          <w:color w:val="000000"/>
          <w:sz w:val="28"/>
          <w:szCs w:val="28"/>
        </w:rPr>
      </w:pPr>
    </w:p>
    <w:p w14:paraId="379ACBF6"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Provedbenim programom Grada Ivanca za mandatno razdoblje 2021.- 2025. godine definirano je 11 razvojnih mjera usklađenih s ciljevima, prioritetima i mjerama Nacionalne razvojne strategije do 2030. godine i odgovaraju samoupravnom djelokrugu Grada Ivanca. </w:t>
      </w:r>
    </w:p>
    <w:p w14:paraId="488F6892" w14:textId="77777777" w:rsidR="00600E2B" w:rsidRDefault="00000000">
      <w:pPr>
        <w:spacing w:after="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Mjere koje su u postupku realizacije na razini Grada Ivanca obuhvaćaju: komunalno gospodarstvo, odgoj i obrazovanje, briga o djeci, kultura, tjelesna kultura i sport, razvoj turizma, zaštita i unapređenje prirodnog okoliša, protupožarna i civilna zaštita, promet i održavanje javnih prometnica, gospodarski razvoj, lokalna uprava i administracija i demografija.</w:t>
      </w:r>
    </w:p>
    <w:p w14:paraId="40AB7877" w14:textId="77777777" w:rsidR="00600E2B"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Podaci o utrošenim proračunskim sredstvima</w:t>
      </w:r>
    </w:p>
    <w:p w14:paraId="0D393564" w14:textId="77777777" w:rsidR="00600E2B" w:rsidRDefault="00000000">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sklopu Provedbenog programa definiran je indikativni financijskih okvir za provedbu svake od mjera na godišnjoj razini. Za vrijeme godišnjeg izvještajnog razdoblja za provedbu svih navedenih mjera ukupno je utrošeno 8.086.055,35 EUR. </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3492"/>
      </w:tblGrid>
      <w:tr w:rsidR="00600E2B" w14:paraId="394DBF19" w14:textId="77777777">
        <w:tc>
          <w:tcPr>
            <w:tcW w:w="5524" w:type="dxa"/>
            <w:shd w:val="clear" w:color="auto" w:fill="DBDBDB"/>
          </w:tcPr>
          <w:p w14:paraId="66C1EDBB" w14:textId="77777777" w:rsidR="00600E2B" w:rsidRDefault="00000000">
            <w:pPr>
              <w:spacing w:after="40"/>
              <w:jc w:val="center"/>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t>Naziv mjere</w:t>
            </w:r>
          </w:p>
        </w:tc>
        <w:tc>
          <w:tcPr>
            <w:tcW w:w="3492" w:type="dxa"/>
            <w:shd w:val="clear" w:color="auto" w:fill="DBDBDB"/>
          </w:tcPr>
          <w:p w14:paraId="38CA05D0" w14:textId="77777777" w:rsidR="00600E2B" w:rsidRDefault="00000000">
            <w:pPr>
              <w:spacing w:after="40"/>
              <w:jc w:val="center"/>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Iznos dosad utrošenih sredstava</w:t>
            </w:r>
          </w:p>
        </w:tc>
      </w:tr>
      <w:tr w:rsidR="00600E2B" w14:paraId="4D6274B3" w14:textId="77777777">
        <w:trPr>
          <w:trHeight w:val="135"/>
        </w:trPr>
        <w:tc>
          <w:tcPr>
            <w:tcW w:w="5524" w:type="dxa"/>
          </w:tcPr>
          <w:p w14:paraId="76A9074F"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Komunalno gospodarstvo</w:t>
            </w:r>
          </w:p>
        </w:tc>
        <w:tc>
          <w:tcPr>
            <w:tcW w:w="3492" w:type="dxa"/>
          </w:tcPr>
          <w:p w14:paraId="4D8A4AC0"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406.534,98 EUR</w:t>
            </w:r>
          </w:p>
        </w:tc>
      </w:tr>
      <w:tr w:rsidR="00600E2B" w14:paraId="7A86D8AC" w14:textId="77777777">
        <w:tc>
          <w:tcPr>
            <w:tcW w:w="5524" w:type="dxa"/>
          </w:tcPr>
          <w:p w14:paraId="5523E5C5"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Odgoj i obrazovanje</w:t>
            </w:r>
          </w:p>
        </w:tc>
        <w:tc>
          <w:tcPr>
            <w:tcW w:w="3492" w:type="dxa"/>
          </w:tcPr>
          <w:p w14:paraId="5D32A23D"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67.525,37 EUR</w:t>
            </w:r>
          </w:p>
        </w:tc>
      </w:tr>
      <w:tr w:rsidR="00600E2B" w14:paraId="3941254C" w14:textId="77777777">
        <w:tc>
          <w:tcPr>
            <w:tcW w:w="5524" w:type="dxa"/>
          </w:tcPr>
          <w:p w14:paraId="22332883"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Briga o djeci </w:t>
            </w:r>
          </w:p>
        </w:tc>
        <w:tc>
          <w:tcPr>
            <w:tcW w:w="3492" w:type="dxa"/>
          </w:tcPr>
          <w:p w14:paraId="1FA5DDF8"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4.615.151,40 EUR</w:t>
            </w:r>
          </w:p>
        </w:tc>
      </w:tr>
      <w:tr w:rsidR="00600E2B" w14:paraId="44D9B901" w14:textId="77777777">
        <w:tc>
          <w:tcPr>
            <w:tcW w:w="5524" w:type="dxa"/>
          </w:tcPr>
          <w:p w14:paraId="1340A2EA"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Kultura, tjelesna kultura, sport </w:t>
            </w:r>
          </w:p>
        </w:tc>
        <w:tc>
          <w:tcPr>
            <w:tcW w:w="3492" w:type="dxa"/>
          </w:tcPr>
          <w:p w14:paraId="31B6975E"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342.265,75 EUR</w:t>
            </w:r>
          </w:p>
        </w:tc>
      </w:tr>
      <w:tr w:rsidR="00600E2B" w14:paraId="67FFA9F3" w14:textId="77777777">
        <w:tc>
          <w:tcPr>
            <w:tcW w:w="5524" w:type="dxa"/>
          </w:tcPr>
          <w:p w14:paraId="6F9B3C9E"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Razvoj turizma </w:t>
            </w:r>
          </w:p>
        </w:tc>
        <w:tc>
          <w:tcPr>
            <w:tcW w:w="3492" w:type="dxa"/>
          </w:tcPr>
          <w:p w14:paraId="317170C3"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137.076,50 EUR</w:t>
            </w:r>
          </w:p>
        </w:tc>
      </w:tr>
      <w:tr w:rsidR="00600E2B" w14:paraId="0B4E9617" w14:textId="77777777">
        <w:tc>
          <w:tcPr>
            <w:tcW w:w="5524" w:type="dxa"/>
          </w:tcPr>
          <w:p w14:paraId="5627C98F"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Zaštita i unapređenje prirodnog okoliša</w:t>
            </w:r>
          </w:p>
        </w:tc>
        <w:tc>
          <w:tcPr>
            <w:tcW w:w="3492" w:type="dxa"/>
          </w:tcPr>
          <w:p w14:paraId="4F6C5D92"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126.534,03 EUR</w:t>
            </w:r>
          </w:p>
        </w:tc>
      </w:tr>
      <w:tr w:rsidR="00600E2B" w14:paraId="45A0B844" w14:textId="77777777">
        <w:tc>
          <w:tcPr>
            <w:tcW w:w="5524" w:type="dxa"/>
          </w:tcPr>
          <w:p w14:paraId="60E0A0FB"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Protupožarna i civilna zaštita</w:t>
            </w:r>
          </w:p>
        </w:tc>
        <w:tc>
          <w:tcPr>
            <w:tcW w:w="3492" w:type="dxa"/>
          </w:tcPr>
          <w:p w14:paraId="248CB8F8"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191.343,40 EUR</w:t>
            </w:r>
          </w:p>
        </w:tc>
      </w:tr>
      <w:tr w:rsidR="00600E2B" w14:paraId="363C1EC1" w14:textId="77777777">
        <w:tc>
          <w:tcPr>
            <w:tcW w:w="5524" w:type="dxa"/>
          </w:tcPr>
          <w:p w14:paraId="41C9EF0E"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Promet i održavanje javnih prometnica</w:t>
            </w:r>
          </w:p>
        </w:tc>
        <w:tc>
          <w:tcPr>
            <w:tcW w:w="3492" w:type="dxa"/>
          </w:tcPr>
          <w:p w14:paraId="7AE4CA91"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1.488.304,72 EUR</w:t>
            </w:r>
          </w:p>
        </w:tc>
      </w:tr>
      <w:tr w:rsidR="00600E2B" w14:paraId="07D06911" w14:textId="77777777">
        <w:tc>
          <w:tcPr>
            <w:tcW w:w="5524" w:type="dxa"/>
          </w:tcPr>
          <w:p w14:paraId="3B74922D"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Gospodarski razvoj</w:t>
            </w:r>
          </w:p>
        </w:tc>
        <w:tc>
          <w:tcPr>
            <w:tcW w:w="3492" w:type="dxa"/>
          </w:tcPr>
          <w:p w14:paraId="0218ADCE"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314.890,21 EUR</w:t>
            </w:r>
          </w:p>
        </w:tc>
      </w:tr>
      <w:tr w:rsidR="00600E2B" w14:paraId="24868A5E" w14:textId="77777777">
        <w:tc>
          <w:tcPr>
            <w:tcW w:w="5524" w:type="dxa"/>
          </w:tcPr>
          <w:p w14:paraId="615B719D"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Lokalna uprava i administracija</w:t>
            </w:r>
          </w:p>
        </w:tc>
        <w:tc>
          <w:tcPr>
            <w:tcW w:w="3492" w:type="dxa"/>
          </w:tcPr>
          <w:p w14:paraId="0C228CF7"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361.752,84 EUR</w:t>
            </w:r>
          </w:p>
        </w:tc>
      </w:tr>
      <w:tr w:rsidR="00600E2B" w14:paraId="7B518BB5" w14:textId="77777777">
        <w:tc>
          <w:tcPr>
            <w:tcW w:w="5524" w:type="dxa"/>
          </w:tcPr>
          <w:p w14:paraId="5876F92F"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Demografija</w:t>
            </w:r>
          </w:p>
        </w:tc>
        <w:tc>
          <w:tcPr>
            <w:tcW w:w="3492" w:type="dxa"/>
          </w:tcPr>
          <w:p w14:paraId="67427363"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34.676,15 EUR </w:t>
            </w:r>
          </w:p>
        </w:tc>
      </w:tr>
      <w:tr w:rsidR="00600E2B" w14:paraId="25F05230" w14:textId="77777777">
        <w:tc>
          <w:tcPr>
            <w:tcW w:w="9016" w:type="dxa"/>
            <w:gridSpan w:val="2"/>
          </w:tcPr>
          <w:p w14:paraId="02698A6E" w14:textId="77777777" w:rsidR="00600E2B" w:rsidRDefault="00600E2B">
            <w:pPr>
              <w:jc w:val="both"/>
              <w:rPr>
                <w:rFonts w:ascii="Times New Roman" w:eastAsia="Times New Roman" w:hAnsi="Times New Roman" w:cs="Times New Roman"/>
                <w:sz w:val="24"/>
                <w:szCs w:val="24"/>
              </w:rPr>
            </w:pPr>
          </w:p>
        </w:tc>
      </w:tr>
      <w:tr w:rsidR="00600E2B" w14:paraId="573BED1C" w14:textId="77777777">
        <w:trPr>
          <w:trHeight w:val="58"/>
        </w:trPr>
        <w:tc>
          <w:tcPr>
            <w:tcW w:w="5524" w:type="dxa"/>
          </w:tcPr>
          <w:p w14:paraId="0F8DC612" w14:textId="77777777" w:rsidR="00600E2B" w:rsidRDefault="00000000">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UKUPNO</w:t>
            </w:r>
          </w:p>
        </w:tc>
        <w:tc>
          <w:tcPr>
            <w:tcW w:w="3492" w:type="dxa"/>
          </w:tcPr>
          <w:p w14:paraId="4CF467B8" w14:textId="77777777" w:rsidR="00600E2B"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8.086.055,35 EUR</w:t>
            </w:r>
          </w:p>
        </w:tc>
      </w:tr>
    </w:tbl>
    <w:p w14:paraId="31044143" w14:textId="77777777" w:rsidR="00600E2B" w:rsidRDefault="00600E2B">
      <w:pPr>
        <w:jc w:val="both"/>
        <w:rPr>
          <w:rFonts w:ascii="Times New Roman" w:eastAsia="Times New Roman" w:hAnsi="Times New Roman" w:cs="Times New Roman"/>
          <w:b/>
          <w:sz w:val="24"/>
          <w:szCs w:val="24"/>
          <w:u w:val="single"/>
        </w:rPr>
      </w:pPr>
    </w:p>
    <w:p w14:paraId="0B486502" w14:textId="77777777" w:rsidR="00600E2B" w:rsidRDefault="00600E2B">
      <w:pPr>
        <w:jc w:val="both"/>
        <w:rPr>
          <w:rFonts w:ascii="Times New Roman" w:eastAsia="Times New Roman" w:hAnsi="Times New Roman" w:cs="Times New Roman"/>
          <w:b/>
          <w:sz w:val="24"/>
          <w:szCs w:val="24"/>
          <w:u w:val="single"/>
        </w:rPr>
      </w:pPr>
    </w:p>
    <w:p w14:paraId="7357C402" w14:textId="77777777" w:rsidR="00600E2B"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Analiza statusa provedbe mjere </w:t>
      </w:r>
    </w:p>
    <w:p w14:paraId="0907691B"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 svih 11 utvrđenih mjera planirani je njihov početak i u tijeku razdoblja započeta provedba. Za određene mjere definiran je rok provedbe na godinu dana, dok su neke mjere planirane na višegodišnje razdoblje. Neke mjere bile su dovršene do kraja 2022. godine, neke do kraja 2023., neke do kraja 2024., dok su neke su još uvijek u tijeku. Ukoliko mjere kasne, to je  zbog niza faktora, poput vremenskih neprilika kod mjera koje uključuju infrastrukturne radove, zatim prolongacije rokova od strane nadležnih tijela u projektima za izgradnju i dogradnju vrtića i sl. Valja napomenuti da se od nijedne mjere nije odustalo te će se sve provesti u narednom razdoblju, uz izmjenu vremenskih okvira.</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3492"/>
      </w:tblGrid>
      <w:tr w:rsidR="00600E2B" w14:paraId="21B179A9" w14:textId="77777777">
        <w:tc>
          <w:tcPr>
            <w:tcW w:w="5524" w:type="dxa"/>
            <w:shd w:val="clear" w:color="auto" w:fill="DBDBDB"/>
          </w:tcPr>
          <w:p w14:paraId="7C57E554" w14:textId="77777777" w:rsidR="00600E2B" w:rsidRDefault="00000000">
            <w:pPr>
              <w:spacing w:after="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Naziv mjere</w:t>
            </w:r>
          </w:p>
        </w:tc>
        <w:tc>
          <w:tcPr>
            <w:tcW w:w="3492" w:type="dxa"/>
            <w:shd w:val="clear" w:color="auto" w:fill="DBDBDB"/>
          </w:tcPr>
          <w:p w14:paraId="5305D461" w14:textId="77777777" w:rsidR="00600E2B" w:rsidRDefault="00000000">
            <w:pPr>
              <w:spacing w:after="40"/>
              <w:jc w:val="center"/>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 xml:space="preserve">Status provedbe </w:t>
            </w:r>
          </w:p>
        </w:tc>
      </w:tr>
      <w:tr w:rsidR="00600E2B" w14:paraId="2E959147" w14:textId="77777777">
        <w:trPr>
          <w:trHeight w:val="135"/>
        </w:trPr>
        <w:tc>
          <w:tcPr>
            <w:tcW w:w="5524" w:type="dxa"/>
          </w:tcPr>
          <w:p w14:paraId="30951BDE"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Komunalno gospodarstvo</w:t>
            </w:r>
          </w:p>
        </w:tc>
        <w:tc>
          <w:tcPr>
            <w:tcW w:w="3492" w:type="dxa"/>
          </w:tcPr>
          <w:p w14:paraId="635AD476" w14:textId="77777777" w:rsidR="00600E2B" w:rsidRDefault="00000000">
            <w:pPr>
              <w:jc w:val="center"/>
              <w:rPr>
                <w:rFonts w:ascii="Times New Roman" w:eastAsia="Times New Roman" w:hAnsi="Times New Roman" w:cs="Times New Roman"/>
                <w:highlight w:val="yellow"/>
              </w:rPr>
            </w:pPr>
            <w:r>
              <w:rPr>
                <w:rFonts w:ascii="Times New Roman" w:eastAsia="Times New Roman" w:hAnsi="Times New Roman" w:cs="Times New Roman"/>
              </w:rPr>
              <w:t>U TIJEKU</w:t>
            </w:r>
          </w:p>
        </w:tc>
      </w:tr>
      <w:tr w:rsidR="00600E2B" w14:paraId="53647F81" w14:textId="77777777">
        <w:tc>
          <w:tcPr>
            <w:tcW w:w="5524" w:type="dxa"/>
          </w:tcPr>
          <w:p w14:paraId="3AF3258A"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Odgoj i obrazovanje</w:t>
            </w:r>
          </w:p>
        </w:tc>
        <w:tc>
          <w:tcPr>
            <w:tcW w:w="3492" w:type="dxa"/>
          </w:tcPr>
          <w:p w14:paraId="1CF3E352" w14:textId="77777777" w:rsidR="00600E2B" w:rsidRDefault="00000000">
            <w:pPr>
              <w:jc w:val="center"/>
              <w:rPr>
                <w:rFonts w:ascii="Times New Roman" w:eastAsia="Times New Roman" w:hAnsi="Times New Roman" w:cs="Times New Roman"/>
                <w:highlight w:val="yellow"/>
              </w:rPr>
            </w:pPr>
            <w:r>
              <w:rPr>
                <w:rFonts w:ascii="Times New Roman" w:eastAsia="Times New Roman" w:hAnsi="Times New Roman" w:cs="Times New Roman"/>
              </w:rPr>
              <w:t>PROVEDENO</w:t>
            </w:r>
          </w:p>
        </w:tc>
      </w:tr>
      <w:tr w:rsidR="00600E2B" w14:paraId="64BB9F57" w14:textId="77777777">
        <w:tc>
          <w:tcPr>
            <w:tcW w:w="5524" w:type="dxa"/>
          </w:tcPr>
          <w:p w14:paraId="517C52FA"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Briga o djeci </w:t>
            </w:r>
          </w:p>
        </w:tc>
        <w:tc>
          <w:tcPr>
            <w:tcW w:w="3492" w:type="dxa"/>
          </w:tcPr>
          <w:p w14:paraId="298815DE" w14:textId="77777777" w:rsidR="00600E2B" w:rsidRDefault="00000000">
            <w:pPr>
              <w:jc w:val="center"/>
              <w:rPr>
                <w:rFonts w:ascii="Times New Roman" w:eastAsia="Times New Roman" w:hAnsi="Times New Roman" w:cs="Times New Roman"/>
                <w:highlight w:val="yellow"/>
              </w:rPr>
            </w:pPr>
            <w:r>
              <w:rPr>
                <w:rFonts w:ascii="Times New Roman" w:eastAsia="Times New Roman" w:hAnsi="Times New Roman" w:cs="Times New Roman"/>
              </w:rPr>
              <w:t xml:space="preserve">U TIJEKU </w:t>
            </w:r>
          </w:p>
        </w:tc>
      </w:tr>
      <w:tr w:rsidR="00600E2B" w14:paraId="24963A0F" w14:textId="77777777">
        <w:tc>
          <w:tcPr>
            <w:tcW w:w="5524" w:type="dxa"/>
          </w:tcPr>
          <w:p w14:paraId="0CDCC791"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Kultura, tjelesna kultura, sport </w:t>
            </w:r>
          </w:p>
        </w:tc>
        <w:tc>
          <w:tcPr>
            <w:tcW w:w="3492" w:type="dxa"/>
          </w:tcPr>
          <w:p w14:paraId="0CE0BBED" w14:textId="77777777" w:rsidR="00600E2B" w:rsidRDefault="00000000">
            <w:pPr>
              <w:jc w:val="center"/>
              <w:rPr>
                <w:rFonts w:ascii="Times New Roman" w:eastAsia="Times New Roman" w:hAnsi="Times New Roman" w:cs="Times New Roman"/>
                <w:highlight w:val="yellow"/>
              </w:rPr>
            </w:pPr>
            <w:r>
              <w:rPr>
                <w:rFonts w:ascii="Times New Roman" w:eastAsia="Times New Roman" w:hAnsi="Times New Roman" w:cs="Times New Roman"/>
              </w:rPr>
              <w:t>U TIJEKU</w:t>
            </w:r>
          </w:p>
        </w:tc>
      </w:tr>
      <w:tr w:rsidR="00600E2B" w14:paraId="63E94930" w14:textId="77777777">
        <w:tc>
          <w:tcPr>
            <w:tcW w:w="5524" w:type="dxa"/>
          </w:tcPr>
          <w:p w14:paraId="323E0573" w14:textId="77777777" w:rsidR="00600E2B" w:rsidRDefault="00000000">
            <w:pPr>
              <w:spacing w:before="40" w:after="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Razvoj turizma </w:t>
            </w:r>
          </w:p>
        </w:tc>
        <w:tc>
          <w:tcPr>
            <w:tcW w:w="3492" w:type="dxa"/>
          </w:tcPr>
          <w:p w14:paraId="1063E8DE" w14:textId="77777777" w:rsidR="00600E2B" w:rsidRDefault="00000000">
            <w:pPr>
              <w:jc w:val="center"/>
              <w:rPr>
                <w:rFonts w:ascii="Times New Roman" w:eastAsia="Times New Roman" w:hAnsi="Times New Roman" w:cs="Times New Roman"/>
                <w:highlight w:val="yellow"/>
              </w:rPr>
            </w:pPr>
            <w:r>
              <w:rPr>
                <w:rFonts w:ascii="Times New Roman" w:eastAsia="Times New Roman" w:hAnsi="Times New Roman" w:cs="Times New Roman"/>
              </w:rPr>
              <w:t xml:space="preserve">U TIJEKU </w:t>
            </w:r>
          </w:p>
        </w:tc>
      </w:tr>
      <w:tr w:rsidR="00600E2B" w14:paraId="6D4664C2" w14:textId="77777777">
        <w:tc>
          <w:tcPr>
            <w:tcW w:w="5524" w:type="dxa"/>
          </w:tcPr>
          <w:p w14:paraId="07A9ADA7"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Zaštita i unapređenje prirodnog okoliša</w:t>
            </w:r>
          </w:p>
        </w:tc>
        <w:tc>
          <w:tcPr>
            <w:tcW w:w="3492" w:type="dxa"/>
          </w:tcPr>
          <w:p w14:paraId="137792C6" w14:textId="77777777" w:rsidR="00600E2B" w:rsidRDefault="00000000">
            <w:pPr>
              <w:jc w:val="center"/>
              <w:rPr>
                <w:rFonts w:ascii="Times New Roman" w:eastAsia="Times New Roman" w:hAnsi="Times New Roman" w:cs="Times New Roman"/>
              </w:rPr>
            </w:pPr>
            <w:r>
              <w:rPr>
                <w:rFonts w:ascii="Times New Roman" w:eastAsia="Times New Roman" w:hAnsi="Times New Roman" w:cs="Times New Roman"/>
              </w:rPr>
              <w:t>U TIJEKU</w:t>
            </w:r>
          </w:p>
        </w:tc>
      </w:tr>
      <w:tr w:rsidR="00600E2B" w14:paraId="6F231E0F" w14:textId="77777777">
        <w:tc>
          <w:tcPr>
            <w:tcW w:w="5524" w:type="dxa"/>
          </w:tcPr>
          <w:p w14:paraId="40945479"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Protupožarna i civilna zaštita</w:t>
            </w:r>
          </w:p>
        </w:tc>
        <w:tc>
          <w:tcPr>
            <w:tcW w:w="3492" w:type="dxa"/>
          </w:tcPr>
          <w:p w14:paraId="15797250" w14:textId="77777777" w:rsidR="00600E2B" w:rsidRDefault="00000000">
            <w:pPr>
              <w:jc w:val="center"/>
              <w:rPr>
                <w:rFonts w:ascii="Times New Roman" w:eastAsia="Times New Roman" w:hAnsi="Times New Roman" w:cs="Times New Roman"/>
              </w:rPr>
            </w:pPr>
            <w:r>
              <w:rPr>
                <w:rFonts w:ascii="Times New Roman" w:eastAsia="Times New Roman" w:hAnsi="Times New Roman" w:cs="Times New Roman"/>
              </w:rPr>
              <w:t>PROVEDENO</w:t>
            </w:r>
          </w:p>
        </w:tc>
      </w:tr>
      <w:tr w:rsidR="00600E2B" w14:paraId="615C29B2" w14:textId="77777777">
        <w:tc>
          <w:tcPr>
            <w:tcW w:w="5524" w:type="dxa"/>
          </w:tcPr>
          <w:p w14:paraId="31450BBA"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Promet i održavanje javnih prometnica</w:t>
            </w:r>
          </w:p>
        </w:tc>
        <w:tc>
          <w:tcPr>
            <w:tcW w:w="3492" w:type="dxa"/>
          </w:tcPr>
          <w:p w14:paraId="40DFB629" w14:textId="77777777" w:rsidR="00600E2B" w:rsidRDefault="00000000">
            <w:pPr>
              <w:jc w:val="center"/>
              <w:rPr>
                <w:rFonts w:ascii="Times New Roman" w:eastAsia="Times New Roman" w:hAnsi="Times New Roman" w:cs="Times New Roman"/>
              </w:rPr>
            </w:pPr>
            <w:r>
              <w:rPr>
                <w:rFonts w:ascii="Times New Roman" w:eastAsia="Times New Roman" w:hAnsi="Times New Roman" w:cs="Times New Roman"/>
              </w:rPr>
              <w:t>U TIJEKU</w:t>
            </w:r>
          </w:p>
        </w:tc>
      </w:tr>
      <w:tr w:rsidR="00600E2B" w14:paraId="6CF2DE59" w14:textId="77777777">
        <w:tc>
          <w:tcPr>
            <w:tcW w:w="5524" w:type="dxa"/>
          </w:tcPr>
          <w:p w14:paraId="27B87399"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Gospodarski razvoj</w:t>
            </w:r>
          </w:p>
        </w:tc>
        <w:tc>
          <w:tcPr>
            <w:tcW w:w="3492" w:type="dxa"/>
          </w:tcPr>
          <w:p w14:paraId="6A377791" w14:textId="77777777" w:rsidR="00600E2B" w:rsidRDefault="00000000">
            <w:pPr>
              <w:jc w:val="center"/>
              <w:rPr>
                <w:rFonts w:ascii="Times New Roman" w:eastAsia="Times New Roman" w:hAnsi="Times New Roman" w:cs="Times New Roman"/>
              </w:rPr>
            </w:pPr>
            <w:r>
              <w:rPr>
                <w:rFonts w:ascii="Times New Roman" w:eastAsia="Times New Roman" w:hAnsi="Times New Roman" w:cs="Times New Roman"/>
              </w:rPr>
              <w:t>PROVEDENO</w:t>
            </w:r>
          </w:p>
        </w:tc>
      </w:tr>
      <w:tr w:rsidR="00600E2B" w14:paraId="6FDC7153" w14:textId="77777777">
        <w:tc>
          <w:tcPr>
            <w:tcW w:w="5524" w:type="dxa"/>
          </w:tcPr>
          <w:p w14:paraId="3C48F305"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Lokalna uprava i administracija</w:t>
            </w:r>
          </w:p>
        </w:tc>
        <w:tc>
          <w:tcPr>
            <w:tcW w:w="3492" w:type="dxa"/>
          </w:tcPr>
          <w:p w14:paraId="559FD5DD" w14:textId="77777777" w:rsidR="00600E2B" w:rsidRDefault="00000000">
            <w:pPr>
              <w:jc w:val="center"/>
              <w:rPr>
                <w:rFonts w:ascii="Times New Roman" w:eastAsia="Times New Roman" w:hAnsi="Times New Roman" w:cs="Times New Roman"/>
              </w:rPr>
            </w:pPr>
            <w:r>
              <w:rPr>
                <w:rFonts w:ascii="Times New Roman" w:eastAsia="Times New Roman" w:hAnsi="Times New Roman" w:cs="Times New Roman"/>
              </w:rPr>
              <w:t>PROVEDENO</w:t>
            </w:r>
          </w:p>
        </w:tc>
      </w:tr>
      <w:tr w:rsidR="00600E2B" w14:paraId="49C80AAA" w14:textId="77777777">
        <w:tc>
          <w:tcPr>
            <w:tcW w:w="5524" w:type="dxa"/>
          </w:tcPr>
          <w:p w14:paraId="76F46886" w14:textId="77777777" w:rsidR="00600E2B" w:rsidRDefault="00000000">
            <w:pPr>
              <w:pBdr>
                <w:top w:val="nil"/>
                <w:left w:val="nil"/>
                <w:bottom w:val="nil"/>
                <w:right w:val="nil"/>
                <w:between w:val="nil"/>
              </w:pBdr>
              <w:spacing w:before="40" w:after="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Demografija</w:t>
            </w:r>
          </w:p>
        </w:tc>
        <w:tc>
          <w:tcPr>
            <w:tcW w:w="3492" w:type="dxa"/>
          </w:tcPr>
          <w:p w14:paraId="195AC1C3" w14:textId="77777777" w:rsidR="00600E2B" w:rsidRDefault="00000000">
            <w:pPr>
              <w:jc w:val="center"/>
              <w:rPr>
                <w:rFonts w:ascii="Times New Roman" w:eastAsia="Times New Roman" w:hAnsi="Times New Roman" w:cs="Times New Roman"/>
              </w:rPr>
            </w:pPr>
            <w:r>
              <w:rPr>
                <w:rFonts w:ascii="Times New Roman" w:eastAsia="Times New Roman" w:hAnsi="Times New Roman" w:cs="Times New Roman"/>
              </w:rPr>
              <w:t>U TIJEKU</w:t>
            </w:r>
          </w:p>
        </w:tc>
      </w:tr>
    </w:tbl>
    <w:p w14:paraId="1A4DF7C6" w14:textId="77777777" w:rsidR="00600E2B" w:rsidRDefault="00600E2B">
      <w:pPr>
        <w:jc w:val="both"/>
        <w:rPr>
          <w:rFonts w:ascii="Times New Roman" w:eastAsia="Times New Roman" w:hAnsi="Times New Roman" w:cs="Times New Roman"/>
          <w:sz w:val="24"/>
          <w:szCs w:val="24"/>
        </w:rPr>
      </w:pPr>
    </w:p>
    <w:p w14:paraId="3C271C81" w14:textId="77777777" w:rsidR="00600E2B" w:rsidRDefault="00000000">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Opis statusa provedbe mjere</w:t>
      </w:r>
    </w:p>
    <w:p w14:paraId="437D55D5"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Grad Ivanec u okviru Provedbenog programa provodi 22 aktivnosti ukomponirane kroz 11 razvojnih mjera, koje će u konačnici doprinijeti ostvarenju prioriteta i ciljeva zadanih Provedbenim programom i ključnim strateškim dokumentima na razini Županije i RH.</w:t>
      </w:r>
    </w:p>
    <w:p w14:paraId="3A52A578" w14:textId="77777777" w:rsidR="00600E2B"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nastavku je dan kratki prikaz ključnih stavke svake od mjera.</w:t>
      </w:r>
    </w:p>
    <w:p w14:paraId="0FA2C550" w14:textId="77777777" w:rsidR="00600E2B" w:rsidRDefault="00600E2B">
      <w:pPr>
        <w:spacing w:after="120"/>
        <w:jc w:val="both"/>
        <w:rPr>
          <w:rFonts w:ascii="Times New Roman" w:eastAsia="Times New Roman" w:hAnsi="Times New Roman" w:cs="Times New Roman"/>
          <w:sz w:val="24"/>
          <w:szCs w:val="24"/>
        </w:rPr>
      </w:pPr>
    </w:p>
    <w:p w14:paraId="727843EF" w14:textId="77777777" w:rsidR="00600E2B" w:rsidRDefault="00000000">
      <w:pPr>
        <w:spacing w:before="240" w:after="24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3. KOMUNALNO GOSPODARSTVO</w:t>
      </w:r>
    </w:p>
    <w:p w14:paraId="0AD318AB"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Dosad utrošeno proračunskih sredstava: </w:t>
      </w:r>
      <w:r>
        <w:rPr>
          <w:rFonts w:ascii="Times New Roman" w:eastAsia="Times New Roman" w:hAnsi="Times New Roman" w:cs="Times New Roman"/>
          <w:sz w:val="24"/>
          <w:szCs w:val="24"/>
        </w:rPr>
        <w:t>406.534,98 EUR</w:t>
      </w:r>
    </w:p>
    <w:p w14:paraId="5F6620E0" w14:textId="77777777" w:rsidR="00600E2B" w:rsidRDefault="00000000">
      <w:pPr>
        <w:spacing w:before="240" w:after="24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Status provedbe mjere: </w:t>
      </w:r>
      <w:r>
        <w:rPr>
          <w:rFonts w:ascii="Times New Roman" w:eastAsia="Times New Roman" w:hAnsi="Times New Roman" w:cs="Times New Roman"/>
          <w:sz w:val="24"/>
          <w:szCs w:val="24"/>
        </w:rPr>
        <w:t>U TIJEKU</w:t>
      </w:r>
      <w:r>
        <w:rPr>
          <w:rFonts w:ascii="Times New Roman" w:eastAsia="Times New Roman" w:hAnsi="Times New Roman" w:cs="Times New Roman"/>
          <w:b/>
          <w:i/>
          <w:sz w:val="24"/>
          <w:szCs w:val="24"/>
        </w:rPr>
        <w:t xml:space="preserve"> </w:t>
      </w:r>
    </w:p>
    <w:p w14:paraId="6C081986"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Opis statusa provedbe: </w:t>
      </w:r>
      <w:r>
        <w:rPr>
          <w:rFonts w:ascii="Times New Roman" w:eastAsia="Times New Roman" w:hAnsi="Times New Roman" w:cs="Times New Roman"/>
          <w:sz w:val="24"/>
          <w:szCs w:val="24"/>
        </w:rPr>
        <w:t>u okviru mjere komunalno gospodarstvo u razdoblju od siječnja od prosinca 2024. godine nastavljeni su radovi na projektu odvodnje i pročišćavanja otpadnih voda aglomeracije Ivanec, u sklopu koje se provodi izgradnja kanalizacijske mreže, priključci na mrežu te je ovaj kapitalni projekt trenutno na 85% dovršenosti. Izgrađeno je 15 km novoizgrađene komunalne infrastrukture (kolektori i cjevovodi). Projekt će biti dovršen tijekom 2025. godine, čime će 86% kućanstava biti priključeno na javnu kanalizacijsku mrežu. Rokovi investicije produljeni su zbog kašnjenja od strane izvođača radova te vremenskih neprilika.</w:t>
      </w:r>
    </w:p>
    <w:p w14:paraId="0DC815F4" w14:textId="77777777" w:rsidR="00600E2B" w:rsidRDefault="00600E2B">
      <w:pPr>
        <w:spacing w:before="240" w:after="240"/>
        <w:jc w:val="both"/>
        <w:rPr>
          <w:rFonts w:ascii="Times New Roman" w:eastAsia="Times New Roman" w:hAnsi="Times New Roman" w:cs="Times New Roman"/>
          <w:sz w:val="24"/>
          <w:szCs w:val="24"/>
        </w:rPr>
      </w:pPr>
    </w:p>
    <w:p w14:paraId="4FFEF740" w14:textId="77777777" w:rsidR="00600E2B" w:rsidRDefault="00000000">
      <w:pPr>
        <w:spacing w:before="240" w:after="240"/>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4. ODGOJ I OBRAZOVANJE </w:t>
      </w:r>
    </w:p>
    <w:p w14:paraId="03602247"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Dosad utrošeno proračunskih sredstava: </w:t>
      </w:r>
      <w:r>
        <w:rPr>
          <w:rFonts w:ascii="Times New Roman" w:eastAsia="Times New Roman" w:hAnsi="Times New Roman" w:cs="Times New Roman"/>
          <w:sz w:val="24"/>
          <w:szCs w:val="24"/>
        </w:rPr>
        <w:t xml:space="preserve">67.525,37 EUR </w:t>
      </w:r>
    </w:p>
    <w:p w14:paraId="1A0FB0F9"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Status provedbe mjere: PROVEDENO  </w:t>
      </w:r>
    </w:p>
    <w:p w14:paraId="6704F641"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Opis statusa provedbe: </w:t>
      </w:r>
      <w:r>
        <w:rPr>
          <w:rFonts w:ascii="Times New Roman" w:eastAsia="Times New Roman" w:hAnsi="Times New Roman" w:cs="Times New Roman"/>
          <w:sz w:val="24"/>
          <w:szCs w:val="24"/>
        </w:rPr>
        <w:t>u okviru mjere odgoj i obrazovanje dosad je izvršena isplata mjesečnih iznosa za dodijeljene studentske stipendije na temelju socijalnog statusa i za deficitarna zanimanja na temelju socijalnog statusa. Riječ je o 38 stipendije po provedenom natječaju za akademsku godinu 2024./2025. temeljem socijalnog statusa, 11 na temelju uspjeha u školovanju, odnosno studiju, 1 stipendiju na temelju invaliditeta te 10 stipendija za deficitarna zanimanja. Ukupno, riječ o 60 stipendija.</w:t>
      </w:r>
    </w:p>
    <w:p w14:paraId="4468057D" w14:textId="77777777" w:rsidR="00600E2B" w:rsidRDefault="00600E2B">
      <w:pPr>
        <w:spacing w:before="240" w:after="240"/>
        <w:jc w:val="both"/>
        <w:rPr>
          <w:rFonts w:ascii="Times New Roman" w:eastAsia="Times New Roman" w:hAnsi="Times New Roman" w:cs="Times New Roman"/>
          <w:sz w:val="24"/>
          <w:szCs w:val="24"/>
        </w:rPr>
      </w:pPr>
    </w:p>
    <w:p w14:paraId="65A75922" w14:textId="77777777" w:rsidR="00600E2B" w:rsidRDefault="00000000">
      <w:pPr>
        <w:spacing w:before="240" w:after="24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5. BRIGA O DJECI</w:t>
      </w:r>
    </w:p>
    <w:p w14:paraId="60136D8D"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Dosad utrošeno proračunskih sredstava: </w:t>
      </w:r>
      <w:r>
        <w:rPr>
          <w:rFonts w:ascii="Times New Roman" w:eastAsia="Times New Roman" w:hAnsi="Times New Roman" w:cs="Times New Roman"/>
          <w:sz w:val="24"/>
          <w:szCs w:val="24"/>
        </w:rPr>
        <w:t>4.615.151,40 EUR</w:t>
      </w:r>
    </w:p>
    <w:p w14:paraId="645EB242"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Status provedbe mjere: U TIJEKU  </w:t>
      </w:r>
    </w:p>
    <w:p w14:paraId="1FE9675E"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Opis statusa provedbe: </w:t>
      </w:r>
      <w:r>
        <w:rPr>
          <w:rFonts w:ascii="Times New Roman" w:eastAsia="Times New Roman" w:hAnsi="Times New Roman" w:cs="Times New Roman"/>
          <w:sz w:val="24"/>
          <w:szCs w:val="24"/>
        </w:rPr>
        <w:t xml:space="preserve">u okviru mjere briga o djeci za vrijeme izvještajnog razdoblja otvoren je i u funkciju stavljen dograđeni dio Dječjeg vrtića Ivančice Ivanec, čime su značajno povećani kapaciteti vrtića za jasličke skupine polaznika – 48 novih mjesta. Otvaranjem vrtića stvorena su i nova radna mjesta. Po provedenom javnom pozivu za dodjelu bespovratnih sredstava od strane Min. znanosti i obrazovanja, osim sredstava za vrtić Ivančice, dodijeljena su sredstva i za izgradnju potpuno novog dječjeg vrtića u Radovanu te su u trenutku izrade ovog izvještaja građevinski radovi u punom jeku. Vrtić u Radovanu bit će sljedećih kapaciteta: 64 djece u mješovitim vrtićkim, odnosno jasličkim skupinama, a projekt će biti dovršen tijekom 2025. godine. Provode se kontinuirana ulaganja u razvoj odgojno-obrazovnog standarda na lokalnoj razini, što uključuje sufinanciranje boravka djece u vrtiću te ulaganje u opremu, prije svega igrala u vrtiću – u dvorištu DV Ivančice Ivanec provedeno je potpuno opremanje </w:t>
      </w:r>
      <w:proofErr w:type="spellStart"/>
      <w:r>
        <w:rPr>
          <w:rFonts w:ascii="Times New Roman" w:eastAsia="Times New Roman" w:hAnsi="Times New Roman" w:cs="Times New Roman"/>
          <w:sz w:val="24"/>
          <w:szCs w:val="24"/>
        </w:rPr>
        <w:t>igralima</w:t>
      </w:r>
      <w:proofErr w:type="spellEnd"/>
      <w:r>
        <w:rPr>
          <w:rFonts w:ascii="Times New Roman" w:eastAsia="Times New Roman" w:hAnsi="Times New Roman" w:cs="Times New Roman"/>
          <w:sz w:val="24"/>
          <w:szCs w:val="24"/>
        </w:rPr>
        <w:t xml:space="preserve"> s odgovarajućim atestima. </w:t>
      </w:r>
    </w:p>
    <w:p w14:paraId="582F4F5F" w14:textId="77777777" w:rsidR="00600E2B" w:rsidRDefault="00600E2B">
      <w:pPr>
        <w:spacing w:before="240" w:after="240"/>
        <w:jc w:val="both"/>
        <w:rPr>
          <w:rFonts w:ascii="Times New Roman" w:eastAsia="Times New Roman" w:hAnsi="Times New Roman" w:cs="Times New Roman"/>
          <w:sz w:val="24"/>
          <w:szCs w:val="24"/>
        </w:rPr>
      </w:pPr>
    </w:p>
    <w:p w14:paraId="2A04E1A1" w14:textId="77777777" w:rsidR="00600E2B" w:rsidRDefault="00600E2B">
      <w:pPr>
        <w:spacing w:before="240" w:after="240"/>
        <w:jc w:val="both"/>
        <w:rPr>
          <w:rFonts w:ascii="Times New Roman" w:eastAsia="Times New Roman" w:hAnsi="Times New Roman" w:cs="Times New Roman"/>
          <w:sz w:val="24"/>
          <w:szCs w:val="24"/>
        </w:rPr>
      </w:pPr>
    </w:p>
    <w:p w14:paraId="1850A978"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8. KULTURA, TJELESNA KULTURA, SPORT</w:t>
      </w:r>
    </w:p>
    <w:p w14:paraId="69821B1C"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Dosad utrošeno proračunskih sredstava: </w:t>
      </w:r>
      <w:r>
        <w:rPr>
          <w:rFonts w:ascii="Times New Roman" w:eastAsia="Times New Roman" w:hAnsi="Times New Roman" w:cs="Times New Roman"/>
          <w:sz w:val="24"/>
          <w:szCs w:val="24"/>
        </w:rPr>
        <w:t>342.265,75 EUR</w:t>
      </w:r>
    </w:p>
    <w:p w14:paraId="3F56FC0E"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Status provedbe mjere:</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U TIJEKU</w:t>
      </w:r>
    </w:p>
    <w:p w14:paraId="07107ABC" w14:textId="77777777" w:rsidR="00600E2B" w:rsidRDefault="00000000">
      <w:pPr>
        <w:spacing w:after="0"/>
        <w:jc w:val="both"/>
        <w:rPr>
          <w:rFonts w:ascii="Times New Roman" w:eastAsia="Times New Roman" w:hAnsi="Times New Roman" w:cs="Times New Roman"/>
          <w:sz w:val="24"/>
          <w:szCs w:val="24"/>
        </w:rPr>
      </w:pPr>
      <w:bookmarkStart w:id="1" w:name="_heading=h.30j0zll" w:colFirst="0" w:colLast="0"/>
      <w:bookmarkEnd w:id="1"/>
      <w:r>
        <w:rPr>
          <w:rFonts w:ascii="Times New Roman" w:eastAsia="Times New Roman" w:hAnsi="Times New Roman" w:cs="Times New Roman"/>
          <w:b/>
          <w:i/>
          <w:sz w:val="24"/>
          <w:szCs w:val="24"/>
        </w:rPr>
        <w:t xml:space="preserve">Opis statusa provedbe:   </w:t>
      </w:r>
      <w:r>
        <w:rPr>
          <w:rFonts w:ascii="Times New Roman" w:eastAsia="Times New Roman" w:hAnsi="Times New Roman" w:cs="Times New Roman"/>
          <w:sz w:val="24"/>
          <w:szCs w:val="24"/>
        </w:rPr>
        <w:t xml:space="preserve">Tokom 2024. godine izvršeno je opremanje sportskih igrališta košarkaškim koševima, odnosno iscrtavanje igrališta (košarkaškog, nogometnog) prema zahtjevima mjesnih odbora, osigurana su financijska sredstva za najam sportskih dvorana škola radi osiguranja prostora za odvijanje aktivnosti sportskih klubova. U sklopu odobrenog projekta ulaganja u Rekreacijski centar Lančić – Knapić izvode se radovi na II. fazi uređenja. U predmetnu svrhu, u drugoj polovici 2024. godine, izvršen je izlov i premještanje ribe, sve sukladno zakonskim odredbama koje se odnose na slatkovodno ribarstvo. Sukladno odobrenom projektu, odnosno troškovniku, izvode se radovi koji obuhvaćaju: okoliš i dječje igralište, nadstrešnica, elektroinstalacije, igralište za odbojku na pijesku, boćalište, krajobrazno uređenje. Za sufinanciranje su prijavljeni aktivnosti i radovi koji će rezultirati sljedećim sadržajima:  odbojkom na pijesku, boćanjem, biciklizmom i rekreativnim trčanjem i hodanjem te </w:t>
      </w:r>
      <w:proofErr w:type="spellStart"/>
      <w:r>
        <w:rPr>
          <w:rFonts w:ascii="Times New Roman" w:eastAsia="Times New Roman" w:hAnsi="Times New Roman" w:cs="Times New Roman"/>
          <w:sz w:val="24"/>
          <w:szCs w:val="24"/>
        </w:rPr>
        <w:t>power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walkingom</w:t>
      </w:r>
      <w:proofErr w:type="spellEnd"/>
      <w:r>
        <w:rPr>
          <w:rFonts w:ascii="Times New Roman" w:eastAsia="Times New Roman" w:hAnsi="Times New Roman" w:cs="Times New Roman"/>
          <w:sz w:val="24"/>
          <w:szCs w:val="24"/>
        </w:rPr>
        <w:t xml:space="preserve">. Paralelno se provode aktivnosti koje financira Grad Ivanec iz Proračuna, kao što su, primjerice, postavljanje elemenata zelene urbane opreme i </w:t>
      </w:r>
      <w:proofErr w:type="spellStart"/>
      <w:r>
        <w:rPr>
          <w:rFonts w:ascii="Times New Roman" w:eastAsia="Times New Roman" w:hAnsi="Times New Roman" w:cs="Times New Roman"/>
          <w:sz w:val="24"/>
          <w:szCs w:val="24"/>
        </w:rPr>
        <w:t>odmuljavanje</w:t>
      </w:r>
      <w:proofErr w:type="spellEnd"/>
      <w:r>
        <w:rPr>
          <w:rFonts w:ascii="Times New Roman" w:eastAsia="Times New Roman" w:hAnsi="Times New Roman" w:cs="Times New Roman"/>
          <w:sz w:val="24"/>
          <w:szCs w:val="24"/>
        </w:rPr>
        <w:t xml:space="preserve"> jezera. Rok provedbe projekta se dijelom odnosi i na 2025. godinu. Izvršeno je dodatno ulaganje u krovište sportske dvorane osnovne škole. Izvršena su ulaganja koja se odnose na Trim stazu Ivanečka jezera. Radi se o izradi idejnog rješenja (za ishođenje posebnih uvjeta) i glavnog projekta za izgradnju pješačke staze s pripadnim pješačkim mostovima oko dva sjeverna jezera u Ivancu, a koje rješenje uključuje izradu geodetske podloge i pripadajućeg troškovnika za stazu i mostove. Redovno se financiraju aktivnosti Zajednice sportskih udruga Grada Ivanca. Osigurana su sredstava za novog proračunskog korisnika Muzeja planinarstva za redovnu djelatnost (materijalni rashodi: uredski materijal, roba – suveniri, tekuće održavanje, sitni inventar, usluge tekućeg i investicijskog održavanja, komunalne usluge, računalne usluge, održane manifestacije odnosno izložbe; financijski rashodi: usluge platnog prometa; dugotrajna imovina: izrada </w:t>
      </w:r>
      <w:proofErr w:type="spellStart"/>
      <w:r>
        <w:rPr>
          <w:rFonts w:ascii="Times New Roman" w:eastAsia="Times New Roman" w:hAnsi="Times New Roman" w:cs="Times New Roman"/>
          <w:sz w:val="24"/>
          <w:szCs w:val="24"/>
        </w:rPr>
        <w:t>muzeološke</w:t>
      </w:r>
      <w:proofErr w:type="spellEnd"/>
      <w:r>
        <w:rPr>
          <w:rFonts w:ascii="Times New Roman" w:eastAsia="Times New Roman" w:hAnsi="Times New Roman" w:cs="Times New Roman"/>
          <w:sz w:val="24"/>
          <w:szCs w:val="24"/>
        </w:rPr>
        <w:t xml:space="preserve"> koncepcije, studija izvedivosti – CBA analiza). Izvršeni su radovi na završnoj fazi opremanja objekta Centar za posjetitelje Kukuljević, odnosno postave koncepcije istog (nabava namještaja, nabava usluge kompletnog </w:t>
      </w:r>
      <w:proofErr w:type="spellStart"/>
      <w:r>
        <w:rPr>
          <w:rFonts w:ascii="Times New Roman" w:eastAsia="Times New Roman" w:hAnsi="Times New Roman" w:cs="Times New Roman"/>
          <w:sz w:val="24"/>
          <w:szCs w:val="24"/>
        </w:rPr>
        <w:t>vizuala</w:t>
      </w:r>
      <w:proofErr w:type="spellEnd"/>
      <w:r>
        <w:rPr>
          <w:rFonts w:ascii="Times New Roman" w:eastAsia="Times New Roman" w:hAnsi="Times New Roman" w:cs="Times New Roman"/>
          <w:sz w:val="24"/>
          <w:szCs w:val="24"/>
        </w:rPr>
        <w:t xml:space="preserve"> Centra). U drugoj polovici 2023. godine pristupilo se pristupilo se opremanju, odnosno uređenju interijera i sadržaja tj. postavi koncepcije u samom objektu. Kako je u predmetnom postupku utvrđena dodatna potreba za postavom scenografije, odnosno tehničkih rješenja te ujedno i dodatnom pratećom opremom, bilo je potrebno produžiti rok izvedbe na 2024. godinu. Radilo se o doradi multimedijskog sadržaja, doradi i dopuni konstrukcijskih rješenja, postavi vanjske rasvjete na samom objektu, kao i o troškovima nabave eksponata za potrebe izrade scenografije. Ujedno, dodatni trošak je uključivao i izradu tekstualnog i grafičkog dijela plana evakuacije i spašavanja za predmetni objekt, sukladno zakonskoj regulativi koja uređuje zaštitu na radu, odnosno zaštitu od požara te trošak izrade aluminijskih </w:t>
      </w:r>
      <w:proofErr w:type="spellStart"/>
      <w:r>
        <w:rPr>
          <w:rFonts w:ascii="Times New Roman" w:eastAsia="Times New Roman" w:hAnsi="Times New Roman" w:cs="Times New Roman"/>
          <w:sz w:val="24"/>
          <w:szCs w:val="24"/>
        </w:rPr>
        <w:t>žardinjera</w:t>
      </w:r>
      <w:proofErr w:type="spellEnd"/>
      <w:r>
        <w:rPr>
          <w:rFonts w:ascii="Times New Roman" w:eastAsia="Times New Roman" w:hAnsi="Times New Roman" w:cs="Times New Roman"/>
          <w:sz w:val="24"/>
          <w:szCs w:val="24"/>
        </w:rPr>
        <w:t xml:space="preserve"> u svrhu uređenja terase objekta Centra za posjetitelje. Izvršeno je ulaganje u izgradnju pomoćnog objekta kod Etno kuće </w:t>
      </w:r>
      <w:proofErr w:type="spellStart"/>
      <w:r>
        <w:rPr>
          <w:rFonts w:ascii="Times New Roman" w:eastAsia="Times New Roman" w:hAnsi="Times New Roman" w:cs="Times New Roman"/>
          <w:sz w:val="24"/>
          <w:szCs w:val="24"/>
        </w:rPr>
        <w:t>Bedenec</w:t>
      </w:r>
      <w:proofErr w:type="spellEnd"/>
      <w:r>
        <w:rPr>
          <w:rFonts w:ascii="Times New Roman" w:eastAsia="Times New Roman" w:hAnsi="Times New Roman" w:cs="Times New Roman"/>
          <w:sz w:val="24"/>
          <w:szCs w:val="24"/>
        </w:rPr>
        <w:t xml:space="preserve"> - trošak izrađene projekte dokumentacije te trošak izrade troškovnika, dok je trošak namijenjen za izvođenje radova na demontaži pomoćnog objekta u </w:t>
      </w:r>
      <w:proofErr w:type="spellStart"/>
      <w:r>
        <w:rPr>
          <w:rFonts w:ascii="Times New Roman" w:eastAsia="Times New Roman" w:hAnsi="Times New Roman" w:cs="Times New Roman"/>
          <w:sz w:val="24"/>
          <w:szCs w:val="24"/>
        </w:rPr>
        <w:t>Bedencu</w:t>
      </w:r>
      <w:proofErr w:type="spellEnd"/>
      <w:r>
        <w:rPr>
          <w:rFonts w:ascii="Times New Roman" w:eastAsia="Times New Roman" w:hAnsi="Times New Roman" w:cs="Times New Roman"/>
          <w:sz w:val="24"/>
          <w:szCs w:val="24"/>
        </w:rPr>
        <w:t xml:space="preserve"> koji je Grad Ivanec naslijedio kao </w:t>
      </w:r>
      <w:proofErr w:type="spellStart"/>
      <w:r>
        <w:rPr>
          <w:rFonts w:ascii="Times New Roman" w:eastAsia="Times New Roman" w:hAnsi="Times New Roman" w:cs="Times New Roman"/>
          <w:sz w:val="24"/>
          <w:szCs w:val="24"/>
        </w:rPr>
        <w:t>ošasnu</w:t>
      </w:r>
      <w:proofErr w:type="spellEnd"/>
      <w:r>
        <w:rPr>
          <w:rFonts w:ascii="Times New Roman" w:eastAsia="Times New Roman" w:hAnsi="Times New Roman" w:cs="Times New Roman"/>
          <w:sz w:val="24"/>
          <w:szCs w:val="24"/>
        </w:rPr>
        <w:t xml:space="preserve"> imovinu  (imovina koja prelazi u vlasništvo grada sukladno Zakonu o nasljeđivanju kada se nasljednici odreknu svog dijela nasljedstva), a s ciljem da se za potrebe izgradnje pomoćnog objekta kod Etno kuće </w:t>
      </w:r>
      <w:proofErr w:type="spellStart"/>
      <w:r>
        <w:rPr>
          <w:rFonts w:ascii="Times New Roman" w:eastAsia="Times New Roman" w:hAnsi="Times New Roman" w:cs="Times New Roman"/>
          <w:sz w:val="24"/>
          <w:szCs w:val="24"/>
        </w:rPr>
        <w:t>Bedenec</w:t>
      </w:r>
      <w:proofErr w:type="spellEnd"/>
      <w:r>
        <w:rPr>
          <w:rFonts w:ascii="Times New Roman" w:eastAsia="Times New Roman" w:hAnsi="Times New Roman" w:cs="Times New Roman"/>
          <w:sz w:val="24"/>
          <w:szCs w:val="24"/>
        </w:rPr>
        <w:t xml:space="preserve"> iskoristi izvorna drvena građa koja je u posjedu i vlasništvu Grada. Izvedeni su radovi na sanaciji Arheološkog nalazišta Stari Grad Ivanec - konzervatorsko-restauratorski radovi na Arheološkom nalazištu Stari grad Ivanec, koje se nalazi u samom centru Ivanca. Radi se o uređenju kompletnog lokaliteta arheološkog nalazišta (osim gotičke kapele na kojoj su radovi provedeni 2018. godine). Zbog izloženosti atmosferilijama i okolnoj vegetaciji, arheološko nalazište (neuređeni dio) počelo se urušavati i propadati. Kako bi se sačuvalo izvodi se hitna konsolidacija, sanacija i konzervacija od strane ovlaštenog izvođača radova s građevinskim materijalom koji je kompatibilan s postojećim strukturama (lokalni autohtoni kamen, vapneni mort ili specijalni sanacijski mort). Rok izvođenja radova odnosi se jednim dijelom i na 2025. godinu. Dodatan trošak se odnosi na stručni nadzor i arheološki nadzor uz suglasnost konzervatora, obzirom da je predmetni obuhvat sa statusom kulturnog dobra. Izgrađena je sjenica sukladno glavnom projektu kod pomoćnog objekta Stare škole Salinovec – trošak izrade glavnog projekta te trošak nabave materijala i usluga izvođenja izgradnje nadstrešnice (uključujući i izvedbu fasade spremišta – pomoćnog objekta). Krajem 2024. započela je energetska obnova stare škole u </w:t>
      </w:r>
      <w:proofErr w:type="spellStart"/>
      <w:r>
        <w:rPr>
          <w:rFonts w:ascii="Times New Roman" w:eastAsia="Times New Roman" w:hAnsi="Times New Roman" w:cs="Times New Roman"/>
          <w:sz w:val="24"/>
          <w:szCs w:val="24"/>
        </w:rPr>
        <w:t>Salinovcu</w:t>
      </w:r>
      <w:proofErr w:type="spellEnd"/>
      <w:r>
        <w:rPr>
          <w:rFonts w:ascii="Times New Roman" w:eastAsia="Times New Roman" w:hAnsi="Times New Roman" w:cs="Times New Roman"/>
          <w:sz w:val="24"/>
          <w:szCs w:val="24"/>
        </w:rPr>
        <w:t>, čiji prostori će biti stavljeni na raspolaganje udrugama u kulturi. Projektom energetske obnove predviđena je zamjena kompletne stolarije, izvedba toplinski izolirane fasade i instalacija novog sustava grijanja i hlađenja te nova rasvjeta, a na krovu će biti postavljena fotonaponska elektrana. U sklopu projekta adaptirat će se i unutrašnjost zgrade. Uredit će se društvene prostorije, nova kuhinja i sanitarni čvorovi, uključujući i toalet za osobe s invaliditetom. Salinovec će time dobiti suvremeno uređen prostor za svoje udruge civilnog društva, a velika multifunkcionalna dvorana s kuhinjom bit će na usluzi svim građanima.</w:t>
      </w:r>
    </w:p>
    <w:p w14:paraId="1E412304" w14:textId="77777777" w:rsidR="00600E2B" w:rsidRDefault="00600E2B">
      <w:pPr>
        <w:spacing w:after="0"/>
        <w:jc w:val="both"/>
        <w:rPr>
          <w:rFonts w:ascii="Times New Roman" w:eastAsia="Times New Roman" w:hAnsi="Times New Roman" w:cs="Times New Roman"/>
          <w:sz w:val="24"/>
          <w:szCs w:val="24"/>
        </w:rPr>
      </w:pPr>
      <w:bookmarkStart w:id="2" w:name="_heading=h.lx3qdr4j673t" w:colFirst="0" w:colLast="0"/>
      <w:bookmarkEnd w:id="2"/>
    </w:p>
    <w:p w14:paraId="43E90414" w14:textId="77777777" w:rsidR="00600E2B" w:rsidRDefault="00000000">
      <w:pPr>
        <w:jc w:val="both"/>
        <w:rPr>
          <w:rFonts w:ascii="Times New Roman" w:eastAsia="Times New Roman" w:hAnsi="Times New Roman" w:cs="Times New Roman"/>
          <w:b/>
          <w:i/>
          <w:sz w:val="24"/>
          <w:szCs w:val="24"/>
        </w:rPr>
      </w:pPr>
      <w:bookmarkStart w:id="3" w:name="_heading=h.1fob9te" w:colFirst="0" w:colLast="0"/>
      <w:bookmarkEnd w:id="3"/>
      <w:r>
        <w:rPr>
          <w:rFonts w:ascii="Times New Roman" w:eastAsia="Times New Roman" w:hAnsi="Times New Roman" w:cs="Times New Roman"/>
          <w:b/>
          <w:i/>
          <w:sz w:val="24"/>
          <w:szCs w:val="24"/>
        </w:rPr>
        <w:t>9. RAZVOJ TURIZMA</w:t>
      </w:r>
    </w:p>
    <w:p w14:paraId="5D4E52DF"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Dosad utrošeno proračunskih sredstava: </w:t>
      </w:r>
      <w:r>
        <w:rPr>
          <w:rFonts w:ascii="Times New Roman" w:eastAsia="Times New Roman" w:hAnsi="Times New Roman" w:cs="Times New Roman"/>
          <w:sz w:val="24"/>
          <w:szCs w:val="24"/>
        </w:rPr>
        <w:t>137.076,50 EUR</w:t>
      </w:r>
    </w:p>
    <w:p w14:paraId="20CE2C86"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Status provedbe mjere: </w:t>
      </w:r>
      <w:r>
        <w:rPr>
          <w:rFonts w:ascii="Times New Roman" w:eastAsia="Times New Roman" w:hAnsi="Times New Roman" w:cs="Times New Roman"/>
          <w:sz w:val="24"/>
          <w:szCs w:val="24"/>
        </w:rPr>
        <w:t xml:space="preserve">U TIJEKU </w:t>
      </w:r>
    </w:p>
    <w:p w14:paraId="208EDFA8" w14:textId="77777777" w:rsidR="00600E2B" w:rsidRDefault="00000000">
      <w:pPr>
        <w:spacing w:after="0"/>
        <w:jc w:val="both"/>
        <w:rPr>
          <w:rFonts w:ascii="Times New Roman" w:eastAsia="Times New Roman" w:hAnsi="Times New Roman" w:cs="Times New Roman"/>
          <w:sz w:val="24"/>
          <w:szCs w:val="24"/>
        </w:rPr>
      </w:pPr>
      <w:bookmarkStart w:id="4" w:name="_heading=h.3znysh7" w:colFirst="0" w:colLast="0"/>
      <w:bookmarkEnd w:id="4"/>
      <w:r>
        <w:rPr>
          <w:rFonts w:ascii="Times New Roman" w:eastAsia="Times New Roman" w:hAnsi="Times New Roman" w:cs="Times New Roman"/>
          <w:b/>
          <w:i/>
          <w:sz w:val="24"/>
          <w:szCs w:val="24"/>
        </w:rPr>
        <w:t xml:space="preserve">Opis statusa provedbe: </w:t>
      </w:r>
      <w:r>
        <w:rPr>
          <w:rFonts w:ascii="Times New Roman" w:eastAsia="Times New Roman" w:hAnsi="Times New Roman" w:cs="Times New Roman"/>
          <w:sz w:val="24"/>
          <w:szCs w:val="24"/>
        </w:rPr>
        <w:t xml:space="preserve">u okviru mjere razvoj turizma u ovom izvještajnom razdoblju je proveden Program dodjele bespovratnih potpora u turizmu za 2024. godinu te je pripremljen javni poziv za ostvarivanje mjera iz Programa u tekućoj godini (Javni poziv za dodjelu bespovratnih potpora Grada Ivanca u turizmu za 2025. godinu). Ostvaren je porast broja korisnika mjera u odnosu na prethodnu godinu. </w:t>
      </w:r>
    </w:p>
    <w:p w14:paraId="2426F4BE" w14:textId="77777777" w:rsidR="00600E2B" w:rsidRDefault="00600E2B">
      <w:pPr>
        <w:spacing w:after="120"/>
        <w:jc w:val="both"/>
        <w:rPr>
          <w:rFonts w:ascii="Times New Roman" w:eastAsia="Times New Roman" w:hAnsi="Times New Roman" w:cs="Times New Roman"/>
          <w:b/>
          <w:i/>
          <w:sz w:val="24"/>
          <w:szCs w:val="24"/>
        </w:rPr>
      </w:pPr>
    </w:p>
    <w:p w14:paraId="0587E628"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10. ZAŠTITA I UNAPREĐENJE PRIRODNOG OKOLIŠA</w:t>
      </w:r>
    </w:p>
    <w:p w14:paraId="49954ACC"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Dosad utrošeno proračunskih sredstava: </w:t>
      </w:r>
      <w:r>
        <w:rPr>
          <w:rFonts w:ascii="Times New Roman" w:eastAsia="Times New Roman" w:hAnsi="Times New Roman" w:cs="Times New Roman"/>
          <w:sz w:val="24"/>
          <w:szCs w:val="24"/>
        </w:rPr>
        <w:t>126.534,03 EUR</w:t>
      </w:r>
    </w:p>
    <w:p w14:paraId="7F634BC6"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Status provedbe mjere: </w:t>
      </w:r>
      <w:r>
        <w:rPr>
          <w:rFonts w:ascii="Times New Roman" w:eastAsia="Times New Roman" w:hAnsi="Times New Roman" w:cs="Times New Roman"/>
          <w:sz w:val="24"/>
          <w:szCs w:val="24"/>
        </w:rPr>
        <w:t>U TIJEKU</w:t>
      </w:r>
      <w:r>
        <w:rPr>
          <w:rFonts w:ascii="Times New Roman" w:eastAsia="Times New Roman" w:hAnsi="Times New Roman" w:cs="Times New Roman"/>
          <w:b/>
          <w:i/>
          <w:sz w:val="24"/>
          <w:szCs w:val="24"/>
        </w:rPr>
        <w:t xml:space="preserve"> </w:t>
      </w:r>
    </w:p>
    <w:p w14:paraId="1F5ED8B4" w14:textId="77777777" w:rsidR="00600E2B"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Opis statusa provedbe</w:t>
      </w:r>
      <w:r>
        <w:rPr>
          <w:rFonts w:ascii="Times New Roman" w:eastAsia="Times New Roman" w:hAnsi="Times New Roman" w:cs="Times New Roman"/>
          <w:sz w:val="24"/>
          <w:szCs w:val="24"/>
        </w:rPr>
        <w:t xml:space="preserve">: u okviru mjere zaštita i unaprjeđenje prirodnog okoliša u punu funkciju je stavljeno </w:t>
      </w:r>
      <w:proofErr w:type="spellStart"/>
      <w:r>
        <w:rPr>
          <w:rFonts w:ascii="Times New Roman" w:eastAsia="Times New Roman" w:hAnsi="Times New Roman" w:cs="Times New Roman"/>
          <w:sz w:val="24"/>
          <w:szCs w:val="24"/>
        </w:rPr>
        <w:t>Reciklažno</w:t>
      </w:r>
      <w:proofErr w:type="spellEnd"/>
      <w:r>
        <w:rPr>
          <w:rFonts w:ascii="Times New Roman" w:eastAsia="Times New Roman" w:hAnsi="Times New Roman" w:cs="Times New Roman"/>
          <w:sz w:val="24"/>
          <w:szCs w:val="24"/>
        </w:rPr>
        <w:t xml:space="preserve"> dvorište a u punom zamahu je  modernizacija javne rasvjete na čitavom području Grada Ivanca gdje je dosad izmijenjeno 3400 starih svjetiljaka javne rasvjete sa novim štednim svjetiljkama.</w:t>
      </w:r>
    </w:p>
    <w:p w14:paraId="14AC28EA" w14:textId="77777777" w:rsidR="00600E2B" w:rsidRDefault="00600E2B">
      <w:pPr>
        <w:spacing w:after="0"/>
        <w:jc w:val="both"/>
        <w:rPr>
          <w:rFonts w:ascii="Times New Roman" w:eastAsia="Times New Roman" w:hAnsi="Times New Roman" w:cs="Times New Roman"/>
          <w:sz w:val="24"/>
          <w:szCs w:val="24"/>
        </w:rPr>
      </w:pPr>
    </w:p>
    <w:p w14:paraId="2BAA6357" w14:textId="77777777" w:rsidR="00600E2B" w:rsidRDefault="00600E2B">
      <w:pPr>
        <w:spacing w:after="0"/>
        <w:jc w:val="both"/>
        <w:rPr>
          <w:rFonts w:ascii="Times New Roman" w:eastAsia="Times New Roman" w:hAnsi="Times New Roman" w:cs="Times New Roman"/>
          <w:b/>
          <w:i/>
          <w:sz w:val="24"/>
          <w:szCs w:val="24"/>
        </w:rPr>
      </w:pPr>
    </w:p>
    <w:p w14:paraId="42B1BB46" w14:textId="77777777" w:rsidR="00600E2B" w:rsidRDefault="00600E2B">
      <w:pPr>
        <w:spacing w:after="0"/>
        <w:jc w:val="both"/>
        <w:rPr>
          <w:rFonts w:ascii="Times New Roman" w:eastAsia="Times New Roman" w:hAnsi="Times New Roman" w:cs="Times New Roman"/>
          <w:b/>
          <w:i/>
          <w:sz w:val="24"/>
          <w:szCs w:val="24"/>
        </w:rPr>
      </w:pPr>
    </w:p>
    <w:p w14:paraId="376A4EE3" w14:textId="77777777" w:rsidR="00600E2B" w:rsidRDefault="00000000">
      <w:pPr>
        <w:spacing w:after="12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11. PROTUPOŽARNA I CIVILNA ZAŠTITA</w:t>
      </w:r>
    </w:p>
    <w:p w14:paraId="046127DF"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Dosad utrošeno proračunskih sredstava:</w:t>
      </w:r>
      <w:r>
        <w:rPr>
          <w:rFonts w:ascii="Times New Roman" w:eastAsia="Times New Roman" w:hAnsi="Times New Roman" w:cs="Times New Roman"/>
          <w:sz w:val="24"/>
          <w:szCs w:val="24"/>
        </w:rPr>
        <w:t xml:space="preserve"> 191.343,40 EUR</w:t>
      </w:r>
    </w:p>
    <w:p w14:paraId="1E433B7A" w14:textId="77777777" w:rsidR="00600E2B" w:rsidRDefault="00000000">
      <w:pPr>
        <w:jc w:val="both"/>
        <w:rPr>
          <w:rFonts w:ascii="Times New Roman" w:eastAsia="Times New Roman" w:hAnsi="Times New Roman" w:cs="Times New Roman"/>
          <w:sz w:val="24"/>
          <w:szCs w:val="24"/>
          <w:highlight w:val="yellow"/>
        </w:rPr>
      </w:pPr>
      <w:r>
        <w:rPr>
          <w:rFonts w:ascii="Times New Roman" w:eastAsia="Times New Roman" w:hAnsi="Times New Roman" w:cs="Times New Roman"/>
          <w:b/>
          <w:i/>
          <w:sz w:val="24"/>
          <w:szCs w:val="24"/>
        </w:rPr>
        <w:t xml:space="preserve">Status provedbe mjere: </w:t>
      </w:r>
      <w:r>
        <w:rPr>
          <w:rFonts w:ascii="Times New Roman" w:eastAsia="Times New Roman" w:hAnsi="Times New Roman" w:cs="Times New Roman"/>
          <w:sz w:val="24"/>
          <w:szCs w:val="24"/>
        </w:rPr>
        <w:t>PROVEDENO</w:t>
      </w:r>
      <w:r>
        <w:rPr>
          <w:rFonts w:ascii="Times New Roman" w:eastAsia="Times New Roman" w:hAnsi="Times New Roman" w:cs="Times New Roman"/>
          <w:b/>
          <w:i/>
          <w:sz w:val="24"/>
          <w:szCs w:val="24"/>
        </w:rPr>
        <w:t xml:space="preserve"> Opis statusa provedbe</w:t>
      </w:r>
      <w:r>
        <w:rPr>
          <w:rFonts w:ascii="Times New Roman" w:eastAsia="Times New Roman" w:hAnsi="Times New Roman" w:cs="Times New Roman"/>
          <w:sz w:val="24"/>
          <w:szCs w:val="24"/>
        </w:rPr>
        <w:t>: u okviru mjere protupožarna i civilna zaštita utrošena su znatna financijska, proračunska sredstva za kvalitetnije funkcioniranje dobrovoljnih vatrogasnih društava, odnosno za njihovo opremanje. Osim tekuće donacije Vatrogasnoj zajednici za redovnu djelatnost, korištenje objekata i održavanje autocisterne, izdvojena su sredstva za nabavu novog vatrogasnog vozila Vatrogasnoj zajednici Grada Ivanca.</w:t>
      </w:r>
    </w:p>
    <w:p w14:paraId="144D8A45" w14:textId="77777777" w:rsidR="00600E2B" w:rsidRDefault="00600E2B">
      <w:pPr>
        <w:spacing w:after="120"/>
        <w:jc w:val="both"/>
        <w:rPr>
          <w:rFonts w:ascii="Times New Roman" w:eastAsia="Times New Roman" w:hAnsi="Times New Roman" w:cs="Times New Roman"/>
          <w:b/>
          <w:i/>
          <w:sz w:val="24"/>
          <w:szCs w:val="24"/>
        </w:rPr>
      </w:pPr>
    </w:p>
    <w:p w14:paraId="7DBE2F76"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12. PROMET I ODRŽAVANJE JAVNIH PROMETNICA </w:t>
      </w:r>
    </w:p>
    <w:p w14:paraId="042FBD21"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Dosad utrošeno proračunskih sredstava:</w:t>
      </w:r>
      <w:r>
        <w:rPr>
          <w:rFonts w:ascii="Times New Roman" w:eastAsia="Times New Roman" w:hAnsi="Times New Roman" w:cs="Times New Roman"/>
          <w:sz w:val="24"/>
          <w:szCs w:val="24"/>
        </w:rPr>
        <w:t xml:space="preserve"> 1.488.304,72 EUR</w:t>
      </w:r>
    </w:p>
    <w:p w14:paraId="367746D2"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Status provedbe mjere: </w:t>
      </w:r>
      <w:r>
        <w:rPr>
          <w:rFonts w:ascii="Times New Roman" w:eastAsia="Times New Roman" w:hAnsi="Times New Roman" w:cs="Times New Roman"/>
          <w:sz w:val="24"/>
          <w:szCs w:val="24"/>
        </w:rPr>
        <w:t>U TIJEKU</w:t>
      </w:r>
      <w:r>
        <w:rPr>
          <w:rFonts w:ascii="Times New Roman" w:eastAsia="Times New Roman" w:hAnsi="Times New Roman" w:cs="Times New Roman"/>
          <w:b/>
          <w:i/>
          <w:sz w:val="24"/>
          <w:szCs w:val="24"/>
        </w:rPr>
        <w:t xml:space="preserve"> </w:t>
      </w:r>
    </w:p>
    <w:p w14:paraId="18E4CA19" w14:textId="77777777" w:rsidR="00600E2B"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Opis statusa provedbe: </w:t>
      </w:r>
      <w:r>
        <w:rPr>
          <w:rFonts w:ascii="Times New Roman" w:eastAsia="Times New Roman" w:hAnsi="Times New Roman" w:cs="Times New Roman"/>
          <w:sz w:val="24"/>
          <w:szCs w:val="24"/>
        </w:rPr>
        <w:t xml:space="preserve">u okviru mjere promet i održavanje javnih prometnica za vrijeme ovog izvještajnog razdoblja izvršeno je sljedeće: završena je sanacija klizišta u mjestima Knapić, </w:t>
      </w:r>
      <w:proofErr w:type="spellStart"/>
      <w:r>
        <w:rPr>
          <w:rFonts w:ascii="Times New Roman" w:eastAsia="Times New Roman" w:hAnsi="Times New Roman" w:cs="Times New Roman"/>
          <w:sz w:val="24"/>
          <w:szCs w:val="24"/>
        </w:rPr>
        <w:t>Skradnjak</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Margečan</w:t>
      </w:r>
      <w:proofErr w:type="spellEnd"/>
      <w:r>
        <w:rPr>
          <w:rFonts w:ascii="Times New Roman" w:eastAsia="Times New Roman" w:hAnsi="Times New Roman" w:cs="Times New Roman"/>
          <w:sz w:val="24"/>
          <w:szCs w:val="24"/>
        </w:rPr>
        <w:t xml:space="preserve">. Nastavljeni su radovi na modernizaciji nerazvrstanih cesta i svi ostali povezani radovi koji su povezani s aktivnostima na aglomeraciji Ivanec koja će se ove godine završiti. Završeni su svi započeti radovi na modernizaciji nerazvrstanih cesta na dionicama cesta u </w:t>
      </w:r>
      <w:proofErr w:type="spellStart"/>
      <w:r>
        <w:rPr>
          <w:rFonts w:ascii="Times New Roman" w:eastAsia="Times New Roman" w:hAnsi="Times New Roman" w:cs="Times New Roman"/>
          <w:sz w:val="24"/>
          <w:szCs w:val="24"/>
        </w:rPr>
        <w:t>Salinovcu</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Lovrečanu</w:t>
      </w:r>
      <w:proofErr w:type="spellEnd"/>
      <w:r>
        <w:rPr>
          <w:rFonts w:ascii="Times New Roman" w:eastAsia="Times New Roman" w:hAnsi="Times New Roman" w:cs="Times New Roman"/>
          <w:sz w:val="24"/>
          <w:szCs w:val="24"/>
        </w:rPr>
        <w:t xml:space="preserve"> iz prethodnog izvještaja.</w:t>
      </w:r>
    </w:p>
    <w:p w14:paraId="1C29D276" w14:textId="77777777" w:rsidR="00600E2B" w:rsidRDefault="00600E2B">
      <w:pPr>
        <w:spacing w:after="0"/>
        <w:jc w:val="both"/>
        <w:rPr>
          <w:rFonts w:ascii="Times New Roman" w:eastAsia="Times New Roman" w:hAnsi="Times New Roman" w:cs="Times New Roman"/>
          <w:sz w:val="24"/>
          <w:szCs w:val="24"/>
          <w:highlight w:val="yellow"/>
        </w:rPr>
      </w:pPr>
    </w:p>
    <w:p w14:paraId="0B7BC73F" w14:textId="77777777" w:rsidR="00600E2B" w:rsidRDefault="00600E2B">
      <w:pPr>
        <w:spacing w:after="0"/>
        <w:jc w:val="both"/>
        <w:rPr>
          <w:rFonts w:ascii="Times New Roman" w:eastAsia="Times New Roman" w:hAnsi="Times New Roman" w:cs="Times New Roman"/>
          <w:sz w:val="24"/>
          <w:szCs w:val="24"/>
        </w:rPr>
      </w:pPr>
    </w:p>
    <w:p w14:paraId="26976F37" w14:textId="77777777" w:rsidR="00600E2B" w:rsidRDefault="00600E2B">
      <w:pPr>
        <w:spacing w:after="0"/>
        <w:jc w:val="both"/>
        <w:rPr>
          <w:rFonts w:ascii="Times New Roman" w:eastAsia="Times New Roman" w:hAnsi="Times New Roman" w:cs="Times New Roman"/>
          <w:b/>
          <w:i/>
          <w:sz w:val="24"/>
          <w:szCs w:val="24"/>
        </w:rPr>
      </w:pPr>
    </w:p>
    <w:p w14:paraId="1A9254B8" w14:textId="77777777" w:rsidR="00600E2B" w:rsidRDefault="00000000">
      <w:pPr>
        <w:jc w:val="both"/>
        <w:rPr>
          <w:rFonts w:ascii="Times New Roman" w:eastAsia="Times New Roman" w:hAnsi="Times New Roman" w:cs="Times New Roman"/>
          <w:b/>
          <w:i/>
          <w:sz w:val="24"/>
          <w:szCs w:val="24"/>
        </w:rPr>
      </w:pPr>
      <w:bookmarkStart w:id="5" w:name="_heading=h.tyjcwt" w:colFirst="0" w:colLast="0"/>
      <w:bookmarkEnd w:id="5"/>
      <w:r>
        <w:rPr>
          <w:rFonts w:ascii="Times New Roman" w:eastAsia="Times New Roman" w:hAnsi="Times New Roman" w:cs="Times New Roman"/>
          <w:b/>
          <w:i/>
          <w:sz w:val="24"/>
          <w:szCs w:val="24"/>
        </w:rPr>
        <w:t>13. GOSPODARSKI RAZVOJ</w:t>
      </w:r>
    </w:p>
    <w:p w14:paraId="7AC8D21C"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Dosad utrošeno proračunskih sredstava:</w:t>
      </w:r>
      <w:r>
        <w:rPr>
          <w:rFonts w:ascii="Times New Roman" w:eastAsia="Times New Roman" w:hAnsi="Times New Roman" w:cs="Times New Roman"/>
          <w:sz w:val="24"/>
          <w:szCs w:val="24"/>
        </w:rPr>
        <w:t xml:space="preserve"> 314.890,21 EUR</w:t>
      </w:r>
    </w:p>
    <w:p w14:paraId="05317004"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Status provedbe mjere: </w:t>
      </w:r>
      <w:r>
        <w:rPr>
          <w:rFonts w:ascii="Times New Roman" w:eastAsia="Times New Roman" w:hAnsi="Times New Roman" w:cs="Times New Roman"/>
          <w:sz w:val="24"/>
          <w:szCs w:val="24"/>
        </w:rPr>
        <w:t>PROVEDENO</w:t>
      </w:r>
      <w:r>
        <w:rPr>
          <w:rFonts w:ascii="Times New Roman" w:eastAsia="Times New Roman" w:hAnsi="Times New Roman" w:cs="Times New Roman"/>
          <w:b/>
          <w:i/>
          <w:sz w:val="24"/>
          <w:szCs w:val="24"/>
        </w:rPr>
        <w:t xml:space="preserve"> </w:t>
      </w:r>
    </w:p>
    <w:p w14:paraId="54A2F609" w14:textId="77777777" w:rsidR="00600E2B" w:rsidRDefault="00000000">
      <w:pPr>
        <w:spacing w:after="0"/>
        <w:jc w:val="both"/>
        <w:rPr>
          <w:rFonts w:ascii="Times New Roman" w:eastAsia="Times New Roman" w:hAnsi="Times New Roman" w:cs="Times New Roman"/>
          <w:sz w:val="24"/>
          <w:szCs w:val="24"/>
        </w:rPr>
      </w:pPr>
      <w:bookmarkStart w:id="6" w:name="_heading=h.3dy6vkm" w:colFirst="0" w:colLast="0"/>
      <w:bookmarkEnd w:id="6"/>
      <w:r>
        <w:rPr>
          <w:rFonts w:ascii="Times New Roman" w:eastAsia="Times New Roman" w:hAnsi="Times New Roman" w:cs="Times New Roman"/>
          <w:b/>
          <w:i/>
          <w:sz w:val="24"/>
          <w:szCs w:val="24"/>
        </w:rPr>
        <w:t xml:space="preserve">Opis statusa provedbe: </w:t>
      </w:r>
      <w:r>
        <w:rPr>
          <w:rFonts w:ascii="Times New Roman" w:eastAsia="Times New Roman" w:hAnsi="Times New Roman" w:cs="Times New Roman"/>
          <w:sz w:val="24"/>
          <w:szCs w:val="24"/>
        </w:rPr>
        <w:t xml:space="preserve">u okviru mjere gospodarski razvoj poseban je naglasak u ovom izvještajnom razdoblju bio stavljen na poduzetništvo – donesen je Program dodjele bespovratnih potpora za poticanje razvoja poduzetništva Grada Ivanca za 2024. godinu te je objavljen Javni poziv za ostvarivanje potpora. Poduzetnicima i poduzetnicima početnicima kontinuirano su na raspolaganju mjere potpore edukacije, informiranja, savjetovanja, oglašavanja i izrade projektne dokumentacije koje pruža Poslovna zona Ivanec d.o.o. </w:t>
      </w:r>
    </w:p>
    <w:p w14:paraId="0AC59409" w14:textId="77777777" w:rsidR="00600E2B" w:rsidRDefault="00600E2B">
      <w:pPr>
        <w:spacing w:after="0"/>
        <w:jc w:val="both"/>
        <w:rPr>
          <w:rFonts w:ascii="Times New Roman" w:eastAsia="Times New Roman" w:hAnsi="Times New Roman" w:cs="Times New Roman"/>
          <w:sz w:val="24"/>
          <w:szCs w:val="24"/>
        </w:rPr>
      </w:pPr>
      <w:bookmarkStart w:id="7" w:name="_heading=h.uk05eun2feu7" w:colFirst="0" w:colLast="0"/>
      <w:bookmarkEnd w:id="7"/>
    </w:p>
    <w:p w14:paraId="58CCCBCC"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14. LOKALNA UPRAVA I ADMINISTRACIJA </w:t>
      </w:r>
    </w:p>
    <w:p w14:paraId="43B34998" w14:textId="77777777" w:rsidR="00600E2B" w:rsidRDefault="00000000">
      <w:pPr>
        <w:jc w:val="both"/>
        <w:rPr>
          <w:rFonts w:ascii="Times New Roman" w:eastAsia="Times New Roman" w:hAnsi="Times New Roman" w:cs="Times New Roman"/>
          <w:b/>
          <w:i/>
          <w:sz w:val="24"/>
          <w:szCs w:val="24"/>
          <w:highlight w:val="yellow"/>
        </w:rPr>
      </w:pPr>
      <w:r>
        <w:rPr>
          <w:rFonts w:ascii="Times New Roman" w:eastAsia="Times New Roman" w:hAnsi="Times New Roman" w:cs="Times New Roman"/>
          <w:b/>
          <w:i/>
          <w:sz w:val="24"/>
          <w:szCs w:val="24"/>
        </w:rPr>
        <w:t>Dosad utrošeno proračunskih sredstava:</w:t>
      </w:r>
      <w:r>
        <w:rPr>
          <w:rFonts w:ascii="Times New Roman" w:eastAsia="Times New Roman" w:hAnsi="Times New Roman" w:cs="Times New Roman"/>
          <w:sz w:val="24"/>
          <w:szCs w:val="24"/>
        </w:rPr>
        <w:t xml:space="preserve"> 361.752,84 EUR</w:t>
      </w:r>
    </w:p>
    <w:p w14:paraId="501B290E"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Status provedbe mjere: </w:t>
      </w:r>
      <w:r>
        <w:rPr>
          <w:rFonts w:ascii="Times New Roman" w:eastAsia="Times New Roman" w:hAnsi="Times New Roman" w:cs="Times New Roman"/>
          <w:sz w:val="24"/>
          <w:szCs w:val="24"/>
        </w:rPr>
        <w:t>PROVEDENO</w:t>
      </w:r>
      <w:r>
        <w:rPr>
          <w:rFonts w:ascii="Times New Roman" w:eastAsia="Times New Roman" w:hAnsi="Times New Roman" w:cs="Times New Roman"/>
          <w:b/>
          <w:i/>
          <w:sz w:val="24"/>
          <w:szCs w:val="24"/>
        </w:rPr>
        <w:t xml:space="preserve"> </w:t>
      </w:r>
    </w:p>
    <w:p w14:paraId="3D02D9F3" w14:textId="77777777" w:rsidR="00600E2B" w:rsidRDefault="00000000">
      <w:pPr>
        <w:spacing w:after="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Opis statusa provedbe: </w:t>
      </w:r>
      <w:r>
        <w:rPr>
          <w:rFonts w:ascii="Times New Roman" w:eastAsia="Times New Roman" w:hAnsi="Times New Roman" w:cs="Times New Roman"/>
          <w:sz w:val="24"/>
          <w:szCs w:val="24"/>
        </w:rPr>
        <w:t xml:space="preserve">mjera lokalna uprava i administracija je formalno dovršena tijekom 2022. godine kroz ulaganje u aplikaciju za veću transparentnost proračuna "Otvoreni Grad" te njezino stavljanje u produkciju, ostali ugovori su sklopljeni. Ipak, ulaganja u digitalizaciju usluga su nastavljena u 2023. i 2024. godini, a posebno se ističe uspostava Virtualnog inkubatora Ivanec, namijenjenog poslovanju poduzetnika početnika koji, zbog prirode djelatnosti, nemaju potrebu za fizičkim prostorom. Virtualni Inkubator daje pozitivne rezultate od strane poduzetnika početnika kojima je to prvi korak ka poslovnom svijetu. </w:t>
      </w:r>
    </w:p>
    <w:p w14:paraId="31700D47" w14:textId="77777777" w:rsidR="00600E2B" w:rsidRDefault="00600E2B">
      <w:pPr>
        <w:spacing w:after="120"/>
        <w:jc w:val="both"/>
        <w:rPr>
          <w:rFonts w:ascii="Times New Roman" w:eastAsia="Times New Roman" w:hAnsi="Times New Roman" w:cs="Times New Roman"/>
          <w:b/>
          <w:i/>
          <w:sz w:val="24"/>
          <w:szCs w:val="24"/>
        </w:rPr>
      </w:pPr>
    </w:p>
    <w:p w14:paraId="32BA3A01" w14:textId="77777777" w:rsidR="00600E2B" w:rsidRDefault="00600E2B">
      <w:pPr>
        <w:spacing w:after="120"/>
        <w:jc w:val="both"/>
        <w:rPr>
          <w:rFonts w:ascii="Times New Roman" w:eastAsia="Times New Roman" w:hAnsi="Times New Roman" w:cs="Times New Roman"/>
          <w:b/>
          <w:i/>
          <w:sz w:val="24"/>
          <w:szCs w:val="24"/>
        </w:rPr>
      </w:pPr>
    </w:p>
    <w:p w14:paraId="2D5010B5"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15. DEMOGRAFIJA</w:t>
      </w:r>
    </w:p>
    <w:p w14:paraId="739DA925"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Dosad utrošeno proračunskih sredstava:</w:t>
      </w:r>
      <w:r>
        <w:rPr>
          <w:rFonts w:ascii="Times New Roman" w:eastAsia="Times New Roman" w:hAnsi="Times New Roman" w:cs="Times New Roman"/>
          <w:sz w:val="24"/>
          <w:szCs w:val="24"/>
        </w:rPr>
        <w:t xml:space="preserve"> 34.676,15 EUR</w:t>
      </w:r>
    </w:p>
    <w:p w14:paraId="026EF5E5"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Status provedbe mjere: </w:t>
      </w:r>
      <w:r>
        <w:rPr>
          <w:rFonts w:ascii="Times New Roman" w:eastAsia="Times New Roman" w:hAnsi="Times New Roman" w:cs="Times New Roman"/>
          <w:sz w:val="24"/>
          <w:szCs w:val="24"/>
        </w:rPr>
        <w:t>U TIJEKU</w:t>
      </w:r>
      <w:r>
        <w:rPr>
          <w:rFonts w:ascii="Times New Roman" w:eastAsia="Times New Roman" w:hAnsi="Times New Roman" w:cs="Times New Roman"/>
          <w:b/>
          <w:i/>
          <w:sz w:val="24"/>
          <w:szCs w:val="24"/>
        </w:rPr>
        <w:t xml:space="preserve"> </w:t>
      </w:r>
    </w:p>
    <w:p w14:paraId="75DBF2A2"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Opis statusa provedbe: </w:t>
      </w:r>
      <w:r>
        <w:rPr>
          <w:rFonts w:ascii="Times New Roman" w:eastAsia="Times New Roman" w:hAnsi="Times New Roman" w:cs="Times New Roman"/>
          <w:sz w:val="24"/>
          <w:szCs w:val="24"/>
        </w:rPr>
        <w:t>u proteklom godišnjem razdoblju u okviru mjere demografija korištene su sve tri mjere iz Programa mjera za poticanje rješavanja stambenog pitanja na području grada Ivanca, na kraju 2024. godine aktivno je bilo 153 ugovora te se kontinuirano zaprimaju novi zahtjevi za ostvarivanje prava na korištenje pojedinih mjera iz predmetnog Programa.</w:t>
      </w:r>
    </w:p>
    <w:p w14:paraId="11F823A6" w14:textId="77777777" w:rsidR="00600E2B" w:rsidRDefault="00600E2B">
      <w:pPr>
        <w:jc w:val="both"/>
        <w:rPr>
          <w:rFonts w:ascii="Times New Roman" w:eastAsia="Times New Roman" w:hAnsi="Times New Roman" w:cs="Times New Roman"/>
          <w:color w:val="00B050"/>
          <w:sz w:val="24"/>
          <w:szCs w:val="24"/>
        </w:rPr>
      </w:pPr>
    </w:p>
    <w:p w14:paraId="777C45FB" w14:textId="77777777" w:rsidR="00600E2B" w:rsidRDefault="00000000">
      <w:pPr>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Sukladno svemu navedenom u opisnom i tabličnom izvješću, zaključuje se da se provedba Provedbenog programa Grada Ivanca za mandatno razdoblje 2021.-2025. godine odvija planiranim tijekom. Sve definirane mjere su započete tijekom prvog godišnjeg izvještajnog razdoblja, kontinuirano se provode u sklopu istog te se u skladu s planiranim terminskim i financijskih planom odvija potrošnja proračunskih sredstava za pojedinu mjeru. Konkretni rezultati provedbe svake od mjere bit će vidljivi u narednom razdoblju, neki na godišnjoj, a neki na višegodišnjoj razini. Provedba mjera nastavit će se i u narednoj godini. </w:t>
      </w:r>
    </w:p>
    <w:p w14:paraId="7595B49A"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predmetnom izvještajnom razdoblju nisu uočene prepreke koje bi utjecaje na tijek postignuća ključnih mjera, stoga nije potrebno poduzimati korektivne radnje.</w:t>
      </w:r>
    </w:p>
    <w:p w14:paraId="0B3E730E" w14:textId="77777777" w:rsidR="00600E2B" w:rsidRDefault="00600E2B">
      <w:pPr>
        <w:jc w:val="both"/>
        <w:rPr>
          <w:rFonts w:ascii="Times New Roman" w:eastAsia="Times New Roman" w:hAnsi="Times New Roman" w:cs="Times New Roman"/>
          <w:sz w:val="24"/>
          <w:szCs w:val="24"/>
        </w:rPr>
      </w:pPr>
    </w:p>
    <w:p w14:paraId="75D0A458" w14:textId="77777777" w:rsidR="00600E2B" w:rsidRDefault="00600E2B">
      <w:pPr>
        <w:jc w:val="both"/>
        <w:rPr>
          <w:rFonts w:ascii="Times New Roman" w:eastAsia="Times New Roman" w:hAnsi="Times New Roman" w:cs="Times New Roman"/>
          <w:sz w:val="24"/>
          <w:szCs w:val="24"/>
        </w:rPr>
      </w:pPr>
    </w:p>
    <w:p w14:paraId="603DB004" w14:textId="77777777" w:rsidR="00600E2B" w:rsidRDefault="00000000">
      <w:pPr>
        <w:numPr>
          <w:ilvl w:val="0"/>
          <w:numId w:val="1"/>
        </w:num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Doprinos ostvarenju ciljeva </w:t>
      </w:r>
    </w:p>
    <w:p w14:paraId="39966098" w14:textId="77777777" w:rsidR="00600E2B"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Provedbeni program Grada Ivanca u potpunosti je usklađen sa strateškim ciljevima, prioritetima i mjerama Nacionalne razvojne strategije do 2030. godine i ključnim strateškim dokumentima na razini Županije. U okviru istog definirana su tri ključna gradska strateška, razvojna cilja, usmjerena na tekuće mandatno razdoblje i prilagođena uz sve krovne strateške dokumente i novoj Financijskoj perspektivi Europske unije do 2027. godine.</w:t>
      </w:r>
      <w:r>
        <w:rPr>
          <w:rFonts w:ascii="Times New Roman" w:eastAsia="Times New Roman" w:hAnsi="Times New Roman" w:cs="Times New Roman"/>
          <w:sz w:val="24"/>
          <w:szCs w:val="24"/>
        </w:rPr>
        <w:br/>
      </w:r>
    </w:p>
    <w:p w14:paraId="59048A93" w14:textId="77777777" w:rsidR="00600E2B" w:rsidRDefault="00000000">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Ciljevi su sljedeći: </w:t>
      </w:r>
    </w:p>
    <w:p w14:paraId="1E44FDB3" w14:textId="77777777" w:rsidR="00600E2B"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Cilj 1: Nastaviti identificirati ekonomske i razvojne potencijale te umrežavati dionike kao preduvjet za postizanje gospodarskog razvoja</w:t>
      </w:r>
    </w:p>
    <w:p w14:paraId="57C57CC4" w14:textId="77777777" w:rsidR="00600E2B"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Definirani cilj 1 temelji se na tradicionalnom ivanečkom gospodarstvu i usklađen je s ključnim potencijalima Varaždinske županije koji su prepoznati u razvoju gospodarstva, kao i u poticanju inovativnosti i poslovne izvrsnosti, a također uključuje doprinos globalnim trendovima u poslovanju koji se tiču zelene i digitalne tranzicije. </w:t>
      </w:r>
    </w:p>
    <w:p w14:paraId="4E5042A5" w14:textId="77777777" w:rsidR="00600E2B"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Cilj je daljnji razvoj poslovne i investicijske klime, unapređenje industrijskog razvitka i jačanje konkurentnosti gospodarskih subjekata kroz stalan razvoj poduzetničke infrastrukture, novih tehnologija, ulaganje u ljudske kapacitete, inovacije i proizvode s većom dodanom vrijednošću, energetsku učinkovitost, povećanje izvoza i stvaranje poticajnog okruženja koji će osigurati održivi gospodarski rast i povećanje zaposlenosti. Krajem 2024. godine poduzete su potrebne predradnje za pokretanje procesa BFC (Business </w:t>
      </w:r>
      <w:proofErr w:type="spellStart"/>
      <w:r>
        <w:rPr>
          <w:rFonts w:ascii="Times New Roman" w:eastAsia="Times New Roman" w:hAnsi="Times New Roman" w:cs="Times New Roman"/>
          <w:sz w:val="24"/>
          <w:szCs w:val="24"/>
        </w:rPr>
        <w:t>Friendly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Certificate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recertifikacije</w:t>
      </w:r>
      <w:proofErr w:type="spellEnd"/>
      <w:r>
        <w:rPr>
          <w:rFonts w:ascii="Times New Roman" w:eastAsia="Times New Roman" w:hAnsi="Times New Roman" w:cs="Times New Roman"/>
          <w:sz w:val="24"/>
          <w:szCs w:val="24"/>
        </w:rPr>
        <w:t>, odnosno obnove certifikata za povoljno poslovno okruženje.</w:t>
      </w:r>
    </w:p>
    <w:p w14:paraId="78198CCE" w14:textId="77777777" w:rsidR="00600E2B" w:rsidRDefault="00000000">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Tijekom izvještajnog razdoblja donesen je Program dodjele bespovratnih potpora za poticanje razvoja poduzetništva Grada Ivanca za 2025. godinu te će se objaviti i pripadajući Javni poziv za ostvarivanje potpora. U okviru poljoprivrede izdvojena su financijska sredstva za potporu pčelarima te subvencioniranje umjetnog </w:t>
      </w:r>
      <w:proofErr w:type="spellStart"/>
      <w:r>
        <w:rPr>
          <w:rFonts w:ascii="Times New Roman" w:eastAsia="Times New Roman" w:hAnsi="Times New Roman" w:cs="Times New Roman"/>
          <w:sz w:val="24"/>
          <w:szCs w:val="24"/>
        </w:rPr>
        <w:t>osjemenjivanja</w:t>
      </w:r>
      <w:proofErr w:type="spellEnd"/>
      <w:r>
        <w:rPr>
          <w:rFonts w:ascii="Times New Roman" w:eastAsia="Times New Roman" w:hAnsi="Times New Roman" w:cs="Times New Roman"/>
          <w:sz w:val="24"/>
          <w:szCs w:val="24"/>
        </w:rPr>
        <w:t xml:space="preserve"> goveda i krmača. Kako bi se potaknulo obrazovanje mladih članova lokalne zajednice dodijeljeno je ukupno 60 stipendija po provedenom natječaju za akademsku godinu 2024./2025. Dosad je izvršena isplata mjesečnih iznosa za iste. Po provedenom upisu djece u vrtić putem sustava e-Upis, kojim su se osigurala mjesta u vrtiću, pristupilo se procesu prilagođavanja odgovarajućih akata za upis djece za sljedeću pedagošku godinu, sa znatno povećanim kapacitetima zahvaljujući ulaganjima u infrastrukturu. Grad Ivanec nastavio je i s uspješnom praksom stambenog zbrinjavanja mladih, trenutno je aktivno 153 ugovora prema Programu mjera za poticanje rješavanja stambenog pitanja na području grada Ivanca, koriste se sve tri mjere iz predmetnog programa. Što se tiče modernizacije i digitalizacije lokalne uprave, nastavljen je daljnji razvoj funkcionalnosti i promocija platforme Virtualni inkubator Ivanec, namijenjena poduzetnicima početnicima, s posebnim naglaskom na one koji, zbog prirode djelatnosti, nemaju potrebu za fizičkim prostorom.</w:t>
      </w:r>
    </w:p>
    <w:p w14:paraId="073BA503" w14:textId="77777777" w:rsidR="00600E2B" w:rsidRDefault="00000000">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Cilj 2: Nastaviti unaprjeđivati komunalnu i društvenu infrastrukturu s ciljem podizanja kvalitete života lokalnog stanovništva</w:t>
      </w:r>
    </w:p>
    <w:p w14:paraId="16362667" w14:textId="77777777" w:rsidR="00600E2B" w:rsidRDefault="00600E2B">
      <w:pPr>
        <w:spacing w:after="0" w:line="276" w:lineRule="auto"/>
        <w:jc w:val="both"/>
        <w:rPr>
          <w:rFonts w:ascii="Times New Roman" w:eastAsia="Times New Roman" w:hAnsi="Times New Roman" w:cs="Times New Roman"/>
          <w:color w:val="000000"/>
          <w:sz w:val="23"/>
          <w:szCs w:val="23"/>
        </w:rPr>
      </w:pPr>
    </w:p>
    <w:p w14:paraId="366C0DBE" w14:textId="77777777" w:rsidR="00600E2B" w:rsidRDefault="00000000">
      <w:pPr>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Od siječnja do prosinca 2024. godine nastavljeni su radovi na projektu odvodnje i pročišćavanja otpadnih voda aglomeracije Ivanec, u sklopu koje se provodi izgradnja kanalizacijske mreže. U okviru mjere komunalno gospodarstvo u razdoblju od siječnja do prosinca 2024. godine nastavljeni su radovi na projektu odvodnje i pročišćavanja otpadnih voda aglomeracije Ivanec, u sklopu koje se provodi izgradnja kanalizacijske mreže, priključci na mrežu te je ovaj kapitalni projekt trenutno na 85% dovršenosti. Izgrađeno je 15 km novoizgrađene komunalne infrastrukture (kolektori i cjevovodi). Projekt će biti dovršen tijekom 2025. godine, čime će 86% kućanstava biti priključeno na javnu kanalizacijsku mrežu. Rokovi investicije produljeni su zbog kašnjenja od strane izvođača radova te vremenskih neprilika. </w:t>
      </w:r>
      <w:proofErr w:type="spellStart"/>
      <w:r>
        <w:rPr>
          <w:rFonts w:ascii="Times New Roman" w:eastAsia="Times New Roman" w:hAnsi="Times New Roman" w:cs="Times New Roman"/>
          <w:sz w:val="24"/>
          <w:szCs w:val="24"/>
        </w:rPr>
        <w:t>Reciklažno</w:t>
      </w:r>
      <w:proofErr w:type="spellEnd"/>
      <w:r>
        <w:rPr>
          <w:rFonts w:ascii="Times New Roman" w:eastAsia="Times New Roman" w:hAnsi="Times New Roman" w:cs="Times New Roman"/>
          <w:sz w:val="24"/>
          <w:szCs w:val="24"/>
        </w:rPr>
        <w:t xml:space="preserve"> dvorište koje je dovršeno još u ranijem razdoblju sad je u punoj funkciji. Tokom 2024. izveden je veći  dio radova na modernizaciji javne rasvjete na čitavom području Grada Ivanca. </w:t>
      </w:r>
    </w:p>
    <w:p w14:paraId="6A580112" w14:textId="77777777" w:rsidR="00600E2B" w:rsidRDefault="00000000">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okviru mjere promet i održavanje javnih prometnica za vrijeme ovog izvještajnog razdoblja izvršeno je sljedeće: završena je sanacija klizišta u mjestima Knapić, </w:t>
      </w:r>
      <w:proofErr w:type="spellStart"/>
      <w:r>
        <w:rPr>
          <w:rFonts w:ascii="Times New Roman" w:eastAsia="Times New Roman" w:hAnsi="Times New Roman" w:cs="Times New Roman"/>
          <w:sz w:val="24"/>
          <w:szCs w:val="24"/>
        </w:rPr>
        <w:t>Skradnjak</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Margečan</w:t>
      </w:r>
      <w:proofErr w:type="spellEnd"/>
      <w:r>
        <w:rPr>
          <w:rFonts w:ascii="Times New Roman" w:eastAsia="Times New Roman" w:hAnsi="Times New Roman" w:cs="Times New Roman"/>
          <w:sz w:val="24"/>
          <w:szCs w:val="24"/>
        </w:rPr>
        <w:t xml:space="preserve">. Nastavljeni su radovi na modernizaciji nerazvrstanih cesta i svi ostali povezani radovi koji su povezani s aktivnostima na aglomeraciji Ivanec koja će se ove godine završiti. Završeni su svi započeti radovi na modernizaciji nerazvrstanih cesta na dionicama cesta u </w:t>
      </w:r>
      <w:proofErr w:type="spellStart"/>
      <w:r>
        <w:rPr>
          <w:rFonts w:ascii="Times New Roman" w:eastAsia="Times New Roman" w:hAnsi="Times New Roman" w:cs="Times New Roman"/>
          <w:sz w:val="24"/>
          <w:szCs w:val="24"/>
        </w:rPr>
        <w:t>Salinovcu</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Lovrečanu</w:t>
      </w:r>
      <w:proofErr w:type="spellEnd"/>
      <w:r>
        <w:rPr>
          <w:rFonts w:ascii="Times New Roman" w:eastAsia="Times New Roman" w:hAnsi="Times New Roman" w:cs="Times New Roman"/>
          <w:sz w:val="24"/>
          <w:szCs w:val="24"/>
        </w:rPr>
        <w:t xml:space="preserve"> iz prethodnog izvještaja.</w:t>
      </w:r>
    </w:p>
    <w:p w14:paraId="4D2E0194" w14:textId="77777777" w:rsidR="00600E2B" w:rsidRDefault="00600E2B">
      <w:pPr>
        <w:spacing w:after="0"/>
        <w:jc w:val="both"/>
        <w:rPr>
          <w:rFonts w:ascii="Times New Roman" w:eastAsia="Times New Roman" w:hAnsi="Times New Roman" w:cs="Times New Roman"/>
          <w:sz w:val="24"/>
          <w:szCs w:val="24"/>
        </w:rPr>
      </w:pPr>
    </w:p>
    <w:p w14:paraId="78FF7622"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svrhu doprinosa zaštiti ljudi i prirode, u ovom izvještajnom razdoblju utrošena su znatna financijska, proračunska sredstva za kvalitetnije funkcioniranje dobrovoljnih vatrogasnih društava, odnosno za njihovo opremanje. U okviru mjere protupožarna i civilna zaštita utrošena su znatna financijska, proračunska sredstva za kvalitetnije funkcioniranje dobrovoljnih vatrogasnih društava, odnosno za njihovo opremanje. Osim tekuće donacije Vatrogasnoj zajednici za redovnu djelatnost, korištenje objekata i održavanje autocisterne, izdvojena su sredstva za nabavu novog vatrogasnog vozila Vatrogasnoj zajednici Grada Ivanca. </w:t>
      </w:r>
    </w:p>
    <w:p w14:paraId="7B6401B7"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Poseban naglasak u provedbi Programa stavljen je na sport i to: izvršeno je opremanje sportskih igrališta košarkaškim koševima, odnosno iscrtavanje igrališta (košarkaškog, nogometnog) prema zahtjevima mjesnih odbora, osigurana su financijska sredstva za najam sportskih dvorana škola radi osiguranja prostora za odvijanje aktivnosti sportskih klubova.</w:t>
      </w:r>
    </w:p>
    <w:p w14:paraId="46A2C3FD"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 drugoj polovici 2024. godine, izvršen je izlov i premještanje ribe u sklopu II.  faze uređenja Rekreacijskog centra Lančić-Knapić, a u toku su aktivnosti koje se odnose na </w:t>
      </w:r>
      <w:proofErr w:type="spellStart"/>
      <w:r>
        <w:rPr>
          <w:rFonts w:ascii="Times New Roman" w:eastAsia="Times New Roman" w:hAnsi="Times New Roman" w:cs="Times New Roman"/>
          <w:sz w:val="24"/>
          <w:szCs w:val="24"/>
        </w:rPr>
        <w:t>izmuljivanje</w:t>
      </w:r>
      <w:proofErr w:type="spellEnd"/>
      <w:r>
        <w:rPr>
          <w:rFonts w:ascii="Times New Roman" w:eastAsia="Times New Roman" w:hAnsi="Times New Roman" w:cs="Times New Roman"/>
          <w:sz w:val="24"/>
          <w:szCs w:val="24"/>
        </w:rPr>
        <w:t xml:space="preserve"> jezera i ostali radovi sukladno odobrenom projektu. Izvršena su ulaganja koja se odnose na Trim stazu Ivanečka jezera.</w:t>
      </w:r>
    </w:p>
    <w:p w14:paraId="6D459A26"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Izvršeni su radovi na završnoj fazi opremanja objekta Centar za posjetitelje Kukuljević. Radilo se o doradi multimedijskog sadržaja, doradi i dopuni konstrukcijskih rješenja, postavi vanjske rasvjete na samom objektu, kao i o troškovima nabave eksponata za potrebe izrade scenografije te je uređena terasa Centra za posjetitelje.</w:t>
      </w:r>
    </w:p>
    <w:p w14:paraId="22378A75" w14:textId="77777777" w:rsidR="00600E2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Što se tiče osiguravanja smještajnih kapaciteta predškolskog odgoja, po provedenom javnom pozivu za dodjelu bespovratnih sredstava od strane Min. znanosti i obrazovanja, dodijeljena su sredstva za rekonstrukciju i dogradnju dječjeg vrtića Ivanec temeljem ishođene građevinske dozvole izvedeni su svi građevinski radovi, dobivena je uporabna dozvola te je dograđeni dio vrtića stavljen u punu funkciju. Predmetni građevinski zahvat podrazumijevao je obuhvat za 48 djece u dobi od 1-3 godine, što predstavlja 4 nove odgojno-obrazovne jasličke skupine. Po istom Pozivu odobrena je izgradnja potpuno novog dječjeg vrtića u Radovanu te je u trenutku izrade ovog izvještaja radovi se odvijaju predviđenom dinamikom i očekuje se da će se završiti tokom 2025. godine. Vrtić u Radovanu bit će sljedećih kapaciteta: 64 djece u mješovitim vrtićkim, odnosno jasličkim skupinama.</w:t>
      </w:r>
    </w:p>
    <w:p w14:paraId="47C77EA6" w14:textId="77777777" w:rsidR="00600E2B" w:rsidRDefault="00600E2B">
      <w:pPr>
        <w:spacing w:after="120" w:line="276" w:lineRule="auto"/>
        <w:jc w:val="both"/>
        <w:rPr>
          <w:rFonts w:ascii="Times New Roman" w:eastAsia="Times New Roman" w:hAnsi="Times New Roman" w:cs="Times New Roman"/>
          <w:sz w:val="24"/>
          <w:szCs w:val="24"/>
        </w:rPr>
      </w:pPr>
    </w:p>
    <w:p w14:paraId="4B527F78" w14:textId="77777777" w:rsidR="00600E2B" w:rsidRDefault="00000000">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Cilj 3: Razvijati turistički brend grada Ivanca kao planinarskog grada i razviti konkretne turističke proizvode i usluge uključivanjem svih relevantnih dionika s područja grada i okolice</w:t>
      </w:r>
    </w:p>
    <w:p w14:paraId="36F0FE47" w14:textId="77777777" w:rsidR="00600E2B" w:rsidRDefault="00600E2B">
      <w:pPr>
        <w:spacing w:after="0" w:line="276" w:lineRule="auto"/>
        <w:jc w:val="both"/>
        <w:rPr>
          <w:rFonts w:ascii="Times New Roman" w:eastAsia="Times New Roman" w:hAnsi="Times New Roman" w:cs="Times New Roman"/>
          <w:b/>
          <w:sz w:val="24"/>
          <w:szCs w:val="24"/>
        </w:rPr>
      </w:pPr>
    </w:p>
    <w:p w14:paraId="5657C1E8" w14:textId="77777777" w:rsidR="00600E2B" w:rsidRDefault="00000000">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okviru turističkog razvoja grada Ivanca, donesen je Program dodjele bespovratnih potpora u turizmu, te je objavljen javni poziv za ostvarivanje mjera iz Programa u tekućoj godini. Program se odnosi na set potpora za privatni sektor u turizmu.</w:t>
      </w:r>
    </w:p>
    <w:p w14:paraId="7FB6D27F" w14:textId="77777777" w:rsidR="00600E2B" w:rsidRDefault="00000000">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Također, tijekom 202</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u funkciju turizma i pružanja informacija posjetiteljima i turistima u Ivancu, uspostavljen je </w:t>
      </w:r>
      <w:r>
        <w:rPr>
          <w:rFonts w:ascii="Times New Roman" w:eastAsia="Times New Roman" w:hAnsi="Times New Roman" w:cs="Times New Roman"/>
          <w:color w:val="000000"/>
          <w:sz w:val="24"/>
          <w:szCs w:val="24"/>
        </w:rPr>
        <w:t>Centar za posjetitelje „Kukuljević“</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 Centar za posjetitelje ima funkciju centralnog turističkog objekta u Ivancu, koji na jednom mjestu </w:t>
      </w:r>
      <w:r>
        <w:rPr>
          <w:rFonts w:ascii="Times New Roman" w:eastAsia="Times New Roman" w:hAnsi="Times New Roman" w:cs="Times New Roman"/>
          <w:sz w:val="24"/>
          <w:szCs w:val="24"/>
        </w:rPr>
        <w:t>omogućuje</w:t>
      </w:r>
      <w:r>
        <w:rPr>
          <w:rFonts w:ascii="Times New Roman" w:eastAsia="Times New Roman" w:hAnsi="Times New Roman" w:cs="Times New Roman"/>
          <w:color w:val="000000"/>
          <w:sz w:val="24"/>
          <w:szCs w:val="24"/>
        </w:rPr>
        <w:t xml:space="preserve"> sve važne informacije za turiste i posjetitelje, uz dodatne, zanimljive sadržaje. U prostor Centra za posjetitelje preseljeni su i uredi Turističke zajednice Grada Ivanca. Razvoju turističke ponude doprinose i kontinuirana ulaganja u Muzej planinarstva, gdje </w:t>
      </w:r>
      <w:r>
        <w:rPr>
          <w:rFonts w:ascii="Times New Roman" w:eastAsia="Times New Roman" w:hAnsi="Times New Roman" w:cs="Times New Roman"/>
          <w:sz w:val="24"/>
          <w:szCs w:val="24"/>
        </w:rPr>
        <w:t>se 2024. godine uspostavila i suvenirnica gdje se mogu kupiti</w:t>
      </w:r>
      <w:r>
        <w:rPr>
          <w:rFonts w:ascii="Times New Roman" w:eastAsia="Times New Roman" w:hAnsi="Times New Roman" w:cs="Times New Roman"/>
          <w:color w:val="000000"/>
          <w:sz w:val="24"/>
          <w:szCs w:val="24"/>
        </w:rPr>
        <w:t xml:space="preserve"> tradicionalni suveniri te ukrasni i uporabni predmeti s otisnutim logom Ivanec Planinarski grad. </w:t>
      </w:r>
    </w:p>
    <w:p w14:paraId="23B63D96" w14:textId="77777777" w:rsidR="00600E2B" w:rsidRDefault="00600E2B">
      <w:pPr>
        <w:spacing w:after="0" w:line="276" w:lineRule="auto"/>
        <w:jc w:val="both"/>
        <w:rPr>
          <w:rFonts w:ascii="Times New Roman" w:eastAsia="Times New Roman" w:hAnsi="Times New Roman" w:cs="Times New Roman"/>
          <w:sz w:val="24"/>
          <w:szCs w:val="24"/>
        </w:rPr>
      </w:pPr>
    </w:p>
    <w:p w14:paraId="21656941" w14:textId="77777777" w:rsidR="00600E2B" w:rsidRDefault="00000000">
      <w:pP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 sklopu cilja 3, ostvarene su i određene mjere koje nisu navedene u tabličnom prikazu s obzirom da su nefinancijske, ali izravno doprinose ostvarenju navedenog cilja. Tijekom izvještajnog razdoblja održano je </w:t>
      </w:r>
      <w:r>
        <w:rPr>
          <w:rFonts w:ascii="Times New Roman" w:eastAsia="Times New Roman" w:hAnsi="Times New Roman" w:cs="Times New Roman"/>
          <w:sz w:val="24"/>
          <w:szCs w:val="24"/>
        </w:rPr>
        <w:t>nekoliko</w:t>
      </w:r>
      <w:r>
        <w:rPr>
          <w:rFonts w:ascii="Times New Roman" w:eastAsia="Times New Roman" w:hAnsi="Times New Roman" w:cs="Times New Roman"/>
          <w:color w:val="000000"/>
          <w:sz w:val="24"/>
          <w:szCs w:val="24"/>
        </w:rPr>
        <w:t xml:space="preserve"> specijaliziranih edukacija za privatne iznajmljivače i ostale ponuditelje u sektoru  turizma koje su okupile </w:t>
      </w:r>
      <w:r>
        <w:rPr>
          <w:rFonts w:ascii="Times New Roman" w:eastAsia="Times New Roman" w:hAnsi="Times New Roman" w:cs="Times New Roman"/>
          <w:sz w:val="24"/>
          <w:szCs w:val="24"/>
        </w:rPr>
        <w:t>više od 50</w:t>
      </w:r>
      <w:r>
        <w:rPr>
          <w:rFonts w:ascii="Times New Roman" w:eastAsia="Times New Roman" w:hAnsi="Times New Roman" w:cs="Times New Roman"/>
          <w:color w:val="000000"/>
          <w:sz w:val="24"/>
          <w:szCs w:val="24"/>
        </w:rPr>
        <w:t xml:space="preserve"> sudionika. Održana je zasebna, specijalizirana edukacija za udruge civilnog društva, kako bi im se približio brend Ivanec Planinarski grad, odnosno kako bi ih se potaknulo na korištenje loga i brenda prilikom organiziranja njihovih aktivnosti i manifestacija. Grad Ivanec sudjelovao je na Gospodarskom sajmu u Varaždinu gdje su predstavljene potpore Grada Ivanca za turizam te ključni sudionici u turizmu na lokalnom području. Kontinuirano se šalju newsletteri s aktualnim turističkim događanjima i projektima. Poseban naglasak stavljen je na daljnje </w:t>
      </w:r>
      <w:proofErr w:type="spellStart"/>
      <w:r>
        <w:rPr>
          <w:rFonts w:ascii="Times New Roman" w:eastAsia="Times New Roman" w:hAnsi="Times New Roman" w:cs="Times New Roman"/>
          <w:color w:val="000000"/>
          <w:sz w:val="24"/>
          <w:szCs w:val="24"/>
        </w:rPr>
        <w:t>brendiranje</w:t>
      </w:r>
      <w:proofErr w:type="spellEnd"/>
      <w:r>
        <w:rPr>
          <w:rFonts w:ascii="Times New Roman" w:eastAsia="Times New Roman" w:hAnsi="Times New Roman" w:cs="Times New Roman"/>
          <w:color w:val="000000"/>
          <w:sz w:val="24"/>
          <w:szCs w:val="24"/>
        </w:rPr>
        <w:t xml:space="preserve"> Ivanca kao Planinarskog grada. Osiguravanjem promotivnog materijala za različite manifestacije udruga, sajmove, skupove, ističe se vizualni identitet Ivanca i time Ivanec promovira kao sadržajno poželjna destinacija kontinentalnog turizma u Hrvatskoj, koja ima sve pretpostavke za razvoj sigurnog i održivog turizma. Tijekom izvještajnog razdoblja podijeljen je promotivni materijal za potrebe </w:t>
      </w:r>
      <w:r>
        <w:rPr>
          <w:rFonts w:ascii="Times New Roman" w:eastAsia="Times New Roman" w:hAnsi="Times New Roman" w:cs="Times New Roman"/>
          <w:sz w:val="24"/>
          <w:szCs w:val="24"/>
        </w:rPr>
        <w:t>više od</w:t>
      </w:r>
      <w:r>
        <w:rPr>
          <w:rFonts w:ascii="Times New Roman" w:eastAsia="Times New Roman" w:hAnsi="Times New Roman" w:cs="Times New Roman"/>
          <w:color w:val="000000"/>
          <w:sz w:val="24"/>
          <w:szCs w:val="24"/>
        </w:rPr>
        <w:t xml:space="preserve"> manifestacija koje Grad Ivanec podupire</w:t>
      </w:r>
      <w:r>
        <w:rPr>
          <w:rFonts w:ascii="Times New Roman" w:eastAsia="Times New Roman" w:hAnsi="Times New Roman" w:cs="Times New Roman"/>
          <w:sz w:val="24"/>
          <w:szCs w:val="24"/>
        </w:rPr>
        <w:t xml:space="preserve">, a provode udruge s područja grada. </w:t>
      </w:r>
      <w:r>
        <w:rPr>
          <w:rFonts w:ascii="Times New Roman" w:eastAsia="Times New Roman" w:hAnsi="Times New Roman" w:cs="Times New Roman"/>
          <w:color w:val="000000"/>
          <w:sz w:val="24"/>
          <w:szCs w:val="24"/>
        </w:rPr>
        <w:t xml:space="preserve">. </w:t>
      </w:r>
    </w:p>
    <w:p w14:paraId="4A839A36" w14:textId="77777777" w:rsidR="00600E2B" w:rsidRDefault="00600E2B">
      <w:pPr>
        <w:spacing w:after="0" w:line="276" w:lineRule="auto"/>
        <w:jc w:val="both"/>
        <w:rPr>
          <w:rFonts w:ascii="Times New Roman" w:eastAsia="Times New Roman" w:hAnsi="Times New Roman" w:cs="Times New Roman"/>
          <w:color w:val="000000"/>
          <w:sz w:val="24"/>
          <w:szCs w:val="24"/>
        </w:rPr>
      </w:pPr>
    </w:p>
    <w:p w14:paraId="35BFDAEA" w14:textId="77777777" w:rsidR="00600E2B" w:rsidRDefault="00600E2B">
      <w:pPr>
        <w:spacing w:after="0" w:line="276" w:lineRule="auto"/>
        <w:jc w:val="both"/>
        <w:rPr>
          <w:rFonts w:ascii="Times New Roman" w:eastAsia="Times New Roman" w:hAnsi="Times New Roman" w:cs="Times New Roman"/>
          <w:sz w:val="24"/>
          <w:szCs w:val="24"/>
        </w:rPr>
      </w:pPr>
    </w:p>
    <w:p w14:paraId="1C3E1FEC" w14:textId="77777777" w:rsidR="00600E2B" w:rsidRDefault="00600E2B">
      <w:pPr>
        <w:spacing w:after="0" w:line="276" w:lineRule="auto"/>
        <w:jc w:val="both"/>
        <w:rPr>
          <w:rFonts w:ascii="Times New Roman" w:eastAsia="Times New Roman" w:hAnsi="Times New Roman" w:cs="Times New Roman"/>
          <w:sz w:val="24"/>
          <w:szCs w:val="24"/>
        </w:rPr>
      </w:pPr>
    </w:p>
    <w:p w14:paraId="165B5D34" w14:textId="77777777" w:rsidR="00600E2B" w:rsidRDefault="00600E2B">
      <w:pPr>
        <w:spacing w:after="0" w:line="276" w:lineRule="auto"/>
        <w:jc w:val="both"/>
        <w:rPr>
          <w:rFonts w:ascii="Times New Roman" w:eastAsia="Times New Roman" w:hAnsi="Times New Roman" w:cs="Times New Roman"/>
          <w:sz w:val="24"/>
          <w:szCs w:val="24"/>
        </w:rPr>
      </w:pPr>
    </w:p>
    <w:p w14:paraId="2566D5E8" w14:textId="77777777" w:rsidR="00600E2B" w:rsidRDefault="00600E2B">
      <w:pPr>
        <w:spacing w:after="0" w:line="276" w:lineRule="auto"/>
        <w:jc w:val="both"/>
        <w:rPr>
          <w:rFonts w:ascii="Times New Roman" w:eastAsia="Times New Roman" w:hAnsi="Times New Roman" w:cs="Times New Roman"/>
          <w:sz w:val="24"/>
          <w:szCs w:val="24"/>
        </w:rPr>
      </w:pPr>
    </w:p>
    <w:p w14:paraId="7528FC7F" w14:textId="77777777" w:rsidR="00600E2B" w:rsidRDefault="00600E2B">
      <w:pPr>
        <w:spacing w:after="0" w:line="276" w:lineRule="auto"/>
        <w:jc w:val="both"/>
        <w:rPr>
          <w:rFonts w:ascii="Times New Roman" w:eastAsia="Times New Roman" w:hAnsi="Times New Roman" w:cs="Times New Roman"/>
          <w:sz w:val="24"/>
          <w:szCs w:val="24"/>
        </w:rPr>
      </w:pPr>
    </w:p>
    <w:p w14:paraId="406B7E76" w14:textId="77777777" w:rsidR="00600E2B" w:rsidRDefault="00600E2B">
      <w:pPr>
        <w:spacing w:after="0" w:line="276" w:lineRule="auto"/>
        <w:jc w:val="both"/>
        <w:rPr>
          <w:rFonts w:ascii="Times New Roman" w:eastAsia="Times New Roman" w:hAnsi="Times New Roman" w:cs="Times New Roman"/>
          <w:color w:val="000000"/>
          <w:sz w:val="24"/>
          <w:szCs w:val="24"/>
        </w:rPr>
      </w:pPr>
    </w:p>
    <w:p w14:paraId="76DF451D"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KLASA: 300-02/25-01/01</w:t>
      </w:r>
    </w:p>
    <w:p w14:paraId="6E6B57FA" w14:textId="77777777" w:rsidR="00600E2B"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URBROJ: 2186-12-04/45-25-2</w:t>
      </w:r>
    </w:p>
    <w:p w14:paraId="271B0822" w14:textId="77777777" w:rsidR="00600E2B" w:rsidRDefault="00600E2B">
      <w:pPr>
        <w:jc w:val="both"/>
        <w:rPr>
          <w:rFonts w:ascii="Times New Roman" w:eastAsia="Times New Roman" w:hAnsi="Times New Roman" w:cs="Times New Roman"/>
          <w:sz w:val="24"/>
          <w:szCs w:val="24"/>
        </w:rPr>
      </w:pPr>
    </w:p>
    <w:p w14:paraId="5313D2FF" w14:textId="77777777" w:rsidR="00600E2B" w:rsidRDefault="0000000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Ivanec, 14. veljače 202</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w:t>
      </w:r>
    </w:p>
    <w:p w14:paraId="3A9267E3" w14:textId="77777777" w:rsidR="00600E2B" w:rsidRDefault="00600E2B">
      <w:pPr>
        <w:jc w:val="both"/>
        <w:rPr>
          <w:rFonts w:ascii="Times New Roman" w:eastAsia="Times New Roman" w:hAnsi="Times New Roman" w:cs="Times New Roman"/>
          <w:color w:val="000000"/>
          <w:sz w:val="24"/>
          <w:szCs w:val="24"/>
        </w:rPr>
      </w:pPr>
    </w:p>
    <w:p w14:paraId="1DA854D8" w14:textId="77777777" w:rsidR="00600E2B" w:rsidRDefault="00000000">
      <w:pP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GRADONAČELNIK:</w:t>
      </w:r>
    </w:p>
    <w:p w14:paraId="5DCBB317" w14:textId="77777777" w:rsidR="00600E2B" w:rsidRDefault="00600E2B">
      <w:pPr>
        <w:jc w:val="right"/>
        <w:rPr>
          <w:rFonts w:ascii="Times New Roman" w:eastAsia="Times New Roman" w:hAnsi="Times New Roman" w:cs="Times New Roman"/>
          <w:sz w:val="24"/>
          <w:szCs w:val="24"/>
        </w:rPr>
      </w:pPr>
    </w:p>
    <w:p w14:paraId="6AA26447" w14:textId="77777777" w:rsidR="00600E2B" w:rsidRDefault="00000000">
      <w:pP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Milorad Batinić</w:t>
      </w:r>
    </w:p>
    <w:sectPr w:rsidR="00600E2B">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07C34" w14:textId="77777777" w:rsidR="00EF3525" w:rsidRDefault="00EF3525">
      <w:pPr>
        <w:spacing w:after="0" w:line="240" w:lineRule="auto"/>
      </w:pPr>
      <w:r>
        <w:separator/>
      </w:r>
    </w:p>
  </w:endnote>
  <w:endnote w:type="continuationSeparator" w:id="0">
    <w:p w14:paraId="21288625" w14:textId="77777777" w:rsidR="00EF3525" w:rsidRDefault="00EF3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32E49" w14:textId="77777777" w:rsidR="00600E2B" w:rsidRDefault="00600E2B">
    <w:pPr>
      <w:pBdr>
        <w:top w:val="nil"/>
        <w:left w:val="nil"/>
        <w:bottom w:val="nil"/>
        <w:right w:val="nil"/>
        <w:between w:val="nil"/>
      </w:pBdr>
      <w:tabs>
        <w:tab w:val="center" w:pos="4513"/>
        <w:tab w:val="right" w:pos="9026"/>
      </w:tabs>
      <w:spacing w:after="0" w:line="240" w:lineRule="auto"/>
      <w:jc w:val="right"/>
      <w:rPr>
        <w:color w:val="000000"/>
      </w:rPr>
    </w:pPr>
  </w:p>
  <w:p w14:paraId="3CD37977" w14:textId="77777777" w:rsidR="00600E2B" w:rsidRDefault="00600E2B">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E332B" w14:textId="77777777" w:rsidR="00600E2B" w:rsidRDefault="00600E2B">
    <w:pPr>
      <w:tabs>
        <w:tab w:val="center" w:pos="4513"/>
        <w:tab w:val="right" w:pos="9026"/>
      </w:tabs>
      <w:jc w:val="both"/>
      <w:rPr>
        <w:rFonts w:ascii="Times New Roman" w:eastAsia="Times New Roman" w:hAnsi="Times New Roman" w:cs="Times New Roman"/>
        <w:b/>
        <w:i/>
        <w:sz w:val="24"/>
        <w:szCs w:val="24"/>
      </w:rPr>
    </w:pPr>
  </w:p>
  <w:p w14:paraId="2EFDCABE" w14:textId="77777777" w:rsidR="00600E2B"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927BD">
      <w:rPr>
        <w:noProof/>
        <w:color w:val="000000"/>
      </w:rPr>
      <w:t>1</w:t>
    </w:r>
    <w:r>
      <w:rPr>
        <w:color w:val="000000"/>
      </w:rPr>
      <w:fldChar w:fldCharType="end"/>
    </w:r>
  </w:p>
  <w:p w14:paraId="5957B7DC" w14:textId="77777777" w:rsidR="00600E2B" w:rsidRDefault="00600E2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F0C2C" w14:textId="77777777" w:rsidR="00EF3525" w:rsidRDefault="00EF3525">
      <w:pPr>
        <w:spacing w:after="0" w:line="240" w:lineRule="auto"/>
      </w:pPr>
      <w:r>
        <w:separator/>
      </w:r>
    </w:p>
  </w:footnote>
  <w:footnote w:type="continuationSeparator" w:id="0">
    <w:p w14:paraId="465F44AC" w14:textId="77777777" w:rsidR="00EF3525" w:rsidRDefault="00EF35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F0770"/>
    <w:multiLevelType w:val="multilevel"/>
    <w:tmpl w:val="068433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81886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E2B"/>
    <w:rsid w:val="005B5D42"/>
    <w:rsid w:val="00600E2B"/>
    <w:rsid w:val="009927BD"/>
    <w:rsid w:val="00EF352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64801"/>
  <w15:docId w15:val="{B1638CE8-5667-4955-9705-B68CC9572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uiPriority w:val="9"/>
    <w:qFormat/>
    <w:pPr>
      <w:keepNext/>
      <w:keepLines/>
      <w:spacing w:before="480" w:after="120"/>
      <w:outlineLvl w:val="0"/>
    </w:pPr>
    <w:rPr>
      <w:b/>
      <w:sz w:val="48"/>
      <w:szCs w:val="48"/>
    </w:rPr>
  </w:style>
  <w:style w:type="paragraph" w:styleId="Naslov2">
    <w:name w:val="heading 2"/>
    <w:basedOn w:val="Normal"/>
    <w:next w:val="Normal"/>
    <w:uiPriority w:val="9"/>
    <w:semiHidden/>
    <w:unhideWhenUsed/>
    <w:qFormat/>
    <w:pPr>
      <w:keepNext/>
      <w:keepLines/>
      <w:spacing w:before="360" w:after="80"/>
      <w:outlineLvl w:val="1"/>
    </w:pPr>
    <w:rPr>
      <w:b/>
      <w:sz w:val="36"/>
      <w:szCs w:val="36"/>
    </w:rPr>
  </w:style>
  <w:style w:type="paragraph" w:styleId="Naslov3">
    <w:name w:val="heading 3"/>
    <w:basedOn w:val="Normal"/>
    <w:next w:val="Normal"/>
    <w:uiPriority w:val="9"/>
    <w:semiHidden/>
    <w:unhideWhenUsed/>
    <w:qFormat/>
    <w:pPr>
      <w:keepNext/>
      <w:keepLines/>
      <w:spacing w:before="280" w:after="80"/>
      <w:outlineLvl w:val="2"/>
    </w:pPr>
    <w:rPr>
      <w:b/>
      <w:sz w:val="28"/>
      <w:szCs w:val="28"/>
    </w:rPr>
  </w:style>
  <w:style w:type="paragraph" w:styleId="Naslov4">
    <w:name w:val="heading 4"/>
    <w:basedOn w:val="Normal"/>
    <w:next w:val="Normal"/>
    <w:uiPriority w:val="9"/>
    <w:semiHidden/>
    <w:unhideWhenUsed/>
    <w:qFormat/>
    <w:pPr>
      <w:keepNext/>
      <w:keepLines/>
      <w:spacing w:before="240" w:after="40"/>
      <w:outlineLvl w:val="3"/>
    </w:pPr>
    <w:rPr>
      <w:b/>
      <w:sz w:val="24"/>
      <w:szCs w:val="24"/>
    </w:rPr>
  </w:style>
  <w:style w:type="paragraph" w:styleId="Naslov5">
    <w:name w:val="heading 5"/>
    <w:basedOn w:val="Normal"/>
    <w:next w:val="Normal"/>
    <w:uiPriority w:val="9"/>
    <w:semiHidden/>
    <w:unhideWhenUsed/>
    <w:qFormat/>
    <w:pPr>
      <w:keepNext/>
      <w:keepLines/>
      <w:spacing w:before="220" w:after="40"/>
      <w:outlineLvl w:val="4"/>
    </w:pPr>
    <w:rPr>
      <w:b/>
    </w:rPr>
  </w:style>
  <w:style w:type="paragraph" w:styleId="Naslov6">
    <w:name w:val="heading 6"/>
    <w:basedOn w:val="Normal"/>
    <w:next w:val="Normal"/>
    <w:uiPriority w:val="9"/>
    <w:semiHidden/>
    <w:unhideWhenUsed/>
    <w:qFormat/>
    <w:pPr>
      <w:keepNext/>
      <w:keepLines/>
      <w:spacing w:before="200" w:after="40"/>
      <w:outlineLvl w:val="5"/>
    </w:pPr>
    <w:rPr>
      <w:b/>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aslov">
    <w:name w:val="Title"/>
    <w:basedOn w:val="Normal"/>
    <w:next w:val="Normal"/>
    <w:uiPriority w:val="10"/>
    <w:qFormat/>
    <w:pPr>
      <w:keepNext/>
      <w:keepLines/>
      <w:spacing w:before="480" w:after="120"/>
    </w:pPr>
    <w:rPr>
      <w:b/>
      <w:sz w:val="72"/>
      <w:szCs w:val="72"/>
    </w:rPr>
  </w:style>
  <w:style w:type="paragraph" w:styleId="Odlomakpopisa">
    <w:name w:val="List Paragraph"/>
    <w:basedOn w:val="Normal"/>
    <w:uiPriority w:val="34"/>
    <w:qFormat/>
    <w:rsid w:val="00DA74DA"/>
    <w:pPr>
      <w:ind w:left="720"/>
      <w:contextualSpacing/>
    </w:pPr>
  </w:style>
  <w:style w:type="paragraph" w:customStyle="1" w:styleId="Default">
    <w:name w:val="Default"/>
    <w:rsid w:val="003E26E7"/>
    <w:pPr>
      <w:autoSpaceDE w:val="0"/>
      <w:autoSpaceDN w:val="0"/>
      <w:adjustRightInd w:val="0"/>
      <w:spacing w:after="0" w:line="240" w:lineRule="auto"/>
    </w:pPr>
    <w:rPr>
      <w:rFonts w:ascii="Times New Roman" w:hAnsi="Times New Roman" w:cs="Times New Roman"/>
      <w:color w:val="000000"/>
      <w:sz w:val="24"/>
      <w:szCs w:val="24"/>
    </w:rPr>
  </w:style>
  <w:style w:type="table" w:styleId="Reetkatablice">
    <w:name w:val="Table Grid"/>
    <w:basedOn w:val="Obinatablica"/>
    <w:uiPriority w:val="39"/>
    <w:rsid w:val="00557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4D5BF9"/>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4D5BF9"/>
  </w:style>
  <w:style w:type="paragraph" w:styleId="Podnoje">
    <w:name w:val="footer"/>
    <w:basedOn w:val="Normal"/>
    <w:link w:val="PodnojeChar"/>
    <w:uiPriority w:val="99"/>
    <w:unhideWhenUsed/>
    <w:rsid w:val="004D5BF9"/>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4D5BF9"/>
  </w:style>
  <w:style w:type="character" w:styleId="Referencakomentara">
    <w:name w:val="annotation reference"/>
    <w:basedOn w:val="Zadanifontodlomka"/>
    <w:uiPriority w:val="99"/>
    <w:semiHidden/>
    <w:unhideWhenUsed/>
    <w:rsid w:val="00D41539"/>
    <w:rPr>
      <w:sz w:val="16"/>
      <w:szCs w:val="16"/>
    </w:rPr>
  </w:style>
  <w:style w:type="paragraph" w:styleId="Tekstkomentara">
    <w:name w:val="annotation text"/>
    <w:basedOn w:val="Normal"/>
    <w:link w:val="TekstkomentaraChar"/>
    <w:uiPriority w:val="99"/>
    <w:semiHidden/>
    <w:unhideWhenUsed/>
    <w:rsid w:val="00D41539"/>
    <w:pPr>
      <w:spacing w:line="240" w:lineRule="auto"/>
    </w:pPr>
    <w:rPr>
      <w:sz w:val="20"/>
      <w:szCs w:val="20"/>
    </w:rPr>
  </w:style>
  <w:style w:type="character" w:customStyle="1" w:styleId="TekstkomentaraChar">
    <w:name w:val="Tekst komentara Char"/>
    <w:basedOn w:val="Zadanifontodlomka"/>
    <w:link w:val="Tekstkomentara"/>
    <w:uiPriority w:val="99"/>
    <w:semiHidden/>
    <w:rsid w:val="00D41539"/>
    <w:rPr>
      <w:sz w:val="20"/>
      <w:szCs w:val="20"/>
    </w:rPr>
  </w:style>
  <w:style w:type="paragraph" w:styleId="Predmetkomentara">
    <w:name w:val="annotation subject"/>
    <w:basedOn w:val="Tekstkomentara"/>
    <w:next w:val="Tekstkomentara"/>
    <w:link w:val="PredmetkomentaraChar"/>
    <w:uiPriority w:val="99"/>
    <w:semiHidden/>
    <w:unhideWhenUsed/>
    <w:rsid w:val="00D41539"/>
    <w:rPr>
      <w:b/>
      <w:bCs/>
    </w:rPr>
  </w:style>
  <w:style w:type="character" w:customStyle="1" w:styleId="PredmetkomentaraChar">
    <w:name w:val="Predmet komentara Char"/>
    <w:basedOn w:val="TekstkomentaraChar"/>
    <w:link w:val="Predmetkomentara"/>
    <w:uiPriority w:val="99"/>
    <w:semiHidden/>
    <w:rsid w:val="00D41539"/>
    <w:rPr>
      <w:b/>
      <w:bCs/>
      <w:sz w:val="20"/>
      <w:szCs w:val="20"/>
    </w:rPr>
  </w:style>
  <w:style w:type="paragraph" w:styleId="Podnaslov">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u9usO2H2numFlo/am6zv7HRNVw==">CgMxLjAyCGguZ2pkZ3hzMgloLjMwajB6bGwyDmgubHgzcWRyNGo2NzN0MgloLjFmb2I5dGUyCWguM3pueXNoNzIIaC50eWpjd3QyCWguM2R5NnZrbTIOaC51azA1ZXVuMmZldTc4AHIhMW9MY3owT3R3SHh5TGZIYTB3MGc0emxhMWp5TTBRd1VR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4458</Words>
  <Characters>25412</Characters>
  <Application>Microsoft Office Word</Application>
  <DocSecurity>0</DocSecurity>
  <Lines>211</Lines>
  <Paragraphs>59</Paragraphs>
  <ScaleCrop>false</ScaleCrop>
  <Company/>
  <LinksUpToDate>false</LinksUpToDate>
  <CharactersWithSpaces>29811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Ivana</dc:creator>
  <cp:lastModifiedBy>Marko Krobot</cp:lastModifiedBy>
  <cp:revision>2</cp:revision>
  <dcterms:created xsi:type="dcterms:W3CDTF">2023-01-30T14:43:00Z</dcterms:created>
  <dcterms:modified xsi:type="dcterms:W3CDTF">2025-02-14T11:35:00Z</dcterms:modified>
</cp:coreProperties>
</file>