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POLUGODIŠNJEM IZVJEŠTAJU O IZVRŠENJU PRORAČUNA GRADA IVANCA ZA 2017.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1356B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D3572">
              <w:rPr>
                <w:rFonts w:ascii="Times New Roman" w:hAnsi="Times New Roman" w:cs="Times New Roman"/>
              </w:rPr>
              <w:t>nosti s Polugodišnjim izvještajem o izvršenju Proračuna Grada Ivanca za 2017. godinu, koji</w:t>
            </w:r>
            <w:bookmarkStart w:id="0" w:name="_GoBack"/>
            <w:bookmarkEnd w:id="0"/>
            <w:r w:rsidR="00ED3572">
              <w:rPr>
                <w:rFonts w:ascii="Times New Roman" w:hAnsi="Times New Roman" w:cs="Times New Roman"/>
              </w:rPr>
              <w:t>m se izvještava o realizaciji planiranih prihoda, primitaka i rashoda i izdataka do 30.6.2017. godine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D3572" w:rsidP="0013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24. srpnja do 7. kolovoza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356B0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6</cp:revision>
  <cp:lastPrinted>2017-07-24T08:06:00Z</cp:lastPrinted>
  <dcterms:created xsi:type="dcterms:W3CDTF">2017-06-01T10:44:00Z</dcterms:created>
  <dcterms:modified xsi:type="dcterms:W3CDTF">2017-07-24T08:06:00Z</dcterms:modified>
</cp:coreProperties>
</file>