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D" w:rsidRDefault="00ED055D" w:rsidP="007C0DC4">
      <w:pPr>
        <w:spacing w:line="360" w:lineRule="auto"/>
        <w:jc w:val="center"/>
        <w:rPr>
          <w:b/>
          <w:sz w:val="28"/>
          <w:szCs w:val="28"/>
        </w:rPr>
      </w:pPr>
    </w:p>
    <w:p w:rsidR="0046444C" w:rsidRPr="0046621B" w:rsidRDefault="00E011F5" w:rsidP="007C0DC4">
      <w:pPr>
        <w:spacing w:line="360" w:lineRule="auto"/>
        <w:jc w:val="center"/>
        <w:rPr>
          <w:b/>
          <w:sz w:val="28"/>
          <w:szCs w:val="28"/>
        </w:rPr>
      </w:pPr>
      <w:r w:rsidRPr="0046621B">
        <w:rPr>
          <w:b/>
          <w:sz w:val="28"/>
          <w:szCs w:val="28"/>
        </w:rPr>
        <w:t xml:space="preserve">OBRAZLOŽENJE UZ </w:t>
      </w:r>
      <w:r w:rsidR="0046444C" w:rsidRPr="0046621B">
        <w:rPr>
          <w:b/>
          <w:sz w:val="28"/>
          <w:szCs w:val="28"/>
        </w:rPr>
        <w:t>ODLUKU</w:t>
      </w:r>
    </w:p>
    <w:p w:rsidR="0046444C" w:rsidRPr="0046621B" w:rsidRDefault="00D34AF7" w:rsidP="007C0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IZMJENI ODLUKE O KOMUNALNOJ NAKNADI</w:t>
      </w:r>
      <w:r w:rsidR="00B40430">
        <w:rPr>
          <w:b/>
          <w:sz w:val="28"/>
          <w:szCs w:val="28"/>
        </w:rPr>
        <w:t xml:space="preserve"> U GRADU IVANCU</w:t>
      </w:r>
    </w:p>
    <w:p w:rsidR="0046444C" w:rsidRDefault="0046444C" w:rsidP="00E011F5">
      <w:pPr>
        <w:autoSpaceDE w:val="0"/>
        <w:autoSpaceDN w:val="0"/>
        <w:adjustRightInd w:val="0"/>
        <w:ind w:firstLine="708"/>
        <w:jc w:val="both"/>
      </w:pPr>
    </w:p>
    <w:p w:rsidR="0046444C" w:rsidRDefault="0046444C" w:rsidP="00E011F5">
      <w:pPr>
        <w:autoSpaceDE w:val="0"/>
        <w:autoSpaceDN w:val="0"/>
        <w:adjustRightInd w:val="0"/>
        <w:ind w:firstLine="708"/>
        <w:jc w:val="both"/>
      </w:pPr>
    </w:p>
    <w:p w:rsidR="00C0269A" w:rsidRDefault="00C0269A" w:rsidP="00625A00">
      <w:pPr>
        <w:autoSpaceDE w:val="0"/>
        <w:autoSpaceDN w:val="0"/>
        <w:adjustRightInd w:val="0"/>
        <w:ind w:firstLine="708"/>
        <w:jc w:val="both"/>
      </w:pPr>
    </w:p>
    <w:p w:rsidR="000B6127" w:rsidRDefault="00354868" w:rsidP="00354868">
      <w:pPr>
        <w:autoSpaceDE w:val="0"/>
        <w:autoSpaceDN w:val="0"/>
        <w:adjustRightInd w:val="0"/>
        <w:ind w:firstLine="708"/>
        <w:jc w:val="both"/>
      </w:pPr>
      <w:r w:rsidRPr="007C0DC4">
        <w:t>Sukladno Zakonu o komunalnom gospodarstvu (“Narodne novine” br. 36/95, 70/97, 128/99, 57/00, 59/01, 26/03 – pročišćeni tekst, 82/04, 110/04 - Uredba, 178/04, 38/09, 79/09, 153/09, 49/11, 144/12, 94/13, 153/13, 147/14, 36/15) komunalna naknada prihod je proračuna jedinice lokalne samouprave, a sredstva komunalne naknade namijenjena su financiranju obavljanja s</w:t>
      </w:r>
      <w:r w:rsidR="000B6127">
        <w:t>ljedećih djelatnosti</w:t>
      </w:r>
      <w:r w:rsidRPr="007C0DC4">
        <w:t xml:space="preserve">: odvodnja atmosferskih voda, održavanje čistoće u dijelu koji se odnosi na čišćenje javnih površina, održavanje javnih površina, održavanje nerazvrstanih cesta, održavanje groblja i krematorija i javna rasvjeta. </w:t>
      </w:r>
    </w:p>
    <w:p w:rsidR="00354868" w:rsidRPr="007C0DC4" w:rsidRDefault="00354868" w:rsidP="00354868">
      <w:pPr>
        <w:autoSpaceDE w:val="0"/>
        <w:autoSpaceDN w:val="0"/>
        <w:adjustRightInd w:val="0"/>
        <w:ind w:firstLine="708"/>
        <w:jc w:val="both"/>
      </w:pPr>
      <w:r w:rsidRPr="007C0DC4">
        <w:t>Sredstva komunalne naknade namijenjena su također i financiranju građenja objekata i uređaja komunalne infrastrukture, a mogu se odlukom predstavničkog tijela jedinice lokalne samouprave upotrijebiti i u svrhu građenja i održavanja objekata predškolskog, školskog, zdravstvenog i socijalnog sadržaja, financiranja građenja i održavanja javnih građevina sportske i kulturne namjene i poboljšanja energetske učinkovitosti zgrada u vlasništvu jedinice lokalne samouprave.</w:t>
      </w:r>
    </w:p>
    <w:p w:rsidR="00742C76" w:rsidRPr="007C0DC4" w:rsidRDefault="00742C76" w:rsidP="00354868">
      <w:pPr>
        <w:autoSpaceDE w:val="0"/>
        <w:autoSpaceDN w:val="0"/>
        <w:adjustRightInd w:val="0"/>
        <w:ind w:firstLine="708"/>
        <w:jc w:val="both"/>
      </w:pPr>
    </w:p>
    <w:p w:rsidR="00ED055D" w:rsidRDefault="00354868" w:rsidP="00354868">
      <w:pPr>
        <w:autoSpaceDE w:val="0"/>
        <w:autoSpaceDN w:val="0"/>
        <w:adjustRightInd w:val="0"/>
        <w:ind w:firstLine="708"/>
        <w:jc w:val="both"/>
      </w:pPr>
      <w:r w:rsidRPr="007C0DC4">
        <w:t xml:space="preserve">Komunalnu naknadu plaćaju vlasnici odnosno korisnici: stambenog prostora, poslovnog prostora, garažnog prostora, građevnog zemljišta koje služi u svrhu obavljanja poslovne djelatnosti i neizgrađenoga građevnog zemljišta. </w:t>
      </w:r>
    </w:p>
    <w:p w:rsidR="00354868" w:rsidRPr="007C0DC4" w:rsidRDefault="00354868" w:rsidP="00354868">
      <w:pPr>
        <w:autoSpaceDE w:val="0"/>
        <w:autoSpaceDN w:val="0"/>
        <w:adjustRightInd w:val="0"/>
        <w:ind w:firstLine="708"/>
        <w:jc w:val="both"/>
      </w:pPr>
      <w:r w:rsidRPr="007C0DC4">
        <w:t>Komunalna naknada obračunava se po m2 površine, a iznos komunalne</w:t>
      </w:r>
      <w:r w:rsidR="000B6127">
        <w:t xml:space="preserve"> naknade utvrđuje se množenjem </w:t>
      </w:r>
      <w:r w:rsidRPr="007C0DC4">
        <w:t xml:space="preserve">vrijednosti obračunske jedinice – boda, određene u kunama po m2, koeficijenta zone i </w:t>
      </w:r>
      <w:r w:rsidRPr="00ED055D">
        <w:rPr>
          <w:b/>
        </w:rPr>
        <w:t>koeficijenta namjene.</w:t>
      </w:r>
      <w:r w:rsidRPr="007C0DC4">
        <w:t> </w:t>
      </w:r>
    </w:p>
    <w:p w:rsidR="00C0269A" w:rsidRDefault="00C0269A" w:rsidP="00625A00">
      <w:pPr>
        <w:autoSpaceDE w:val="0"/>
        <w:autoSpaceDN w:val="0"/>
        <w:adjustRightInd w:val="0"/>
        <w:ind w:firstLine="708"/>
        <w:jc w:val="both"/>
      </w:pPr>
    </w:p>
    <w:p w:rsidR="000B6127" w:rsidRDefault="00BA1B31" w:rsidP="00625A00">
      <w:pPr>
        <w:autoSpaceDE w:val="0"/>
        <w:autoSpaceDN w:val="0"/>
        <w:adjustRightInd w:val="0"/>
        <w:ind w:firstLine="708"/>
        <w:jc w:val="both"/>
      </w:pPr>
      <w:r>
        <w:t xml:space="preserve">Prema podacima iz službenih evidencija Grada Ivanca, </w:t>
      </w:r>
      <w:r w:rsidRPr="00B82D0D">
        <w:rPr>
          <w:b/>
        </w:rPr>
        <w:t>program održavanja komunalne</w:t>
      </w:r>
      <w:r>
        <w:t xml:space="preserve"> </w:t>
      </w:r>
      <w:r w:rsidRPr="00B82D0D">
        <w:rPr>
          <w:b/>
        </w:rPr>
        <w:t>infrastrukture</w:t>
      </w:r>
      <w:r>
        <w:t xml:space="preserve"> u 2001. godini je iznosio 1.500.000,00 kn dok je program održavanja u 2014. godini iznosio 2.980.574,40 kn</w:t>
      </w:r>
      <w:r w:rsidR="000B6127">
        <w:t>. Iz toga je</w:t>
      </w:r>
      <w:r>
        <w:t xml:space="preserve"> jasno vidljivo da je </w:t>
      </w:r>
      <w:r w:rsidR="00D80F07">
        <w:t>za potrebe održavanja komunalne infrastrukture potrebno izdvojiti gotovo dvostruko veći iznos sredstava što ujedno pokazuje i na činjenicu</w:t>
      </w:r>
      <w:r w:rsidR="000B6127">
        <w:t xml:space="preserve"> znatnog povećanja komunalnog standarda građana</w:t>
      </w:r>
      <w:r w:rsidR="00D80F07">
        <w:t>.</w:t>
      </w:r>
      <w:r>
        <w:t xml:space="preserve"> </w:t>
      </w:r>
    </w:p>
    <w:p w:rsidR="00D34AF7" w:rsidRDefault="00EA0049" w:rsidP="00625A00">
      <w:pPr>
        <w:autoSpaceDE w:val="0"/>
        <w:autoSpaceDN w:val="0"/>
        <w:adjustRightInd w:val="0"/>
        <w:ind w:firstLine="708"/>
        <w:jc w:val="both"/>
      </w:pPr>
      <w:r>
        <w:t xml:space="preserve">Grad Ivanec cijenu komunalne naknade nije mijenjao punih 15 godina. Kako bi se dostignuta razina razmjerno visokog komunalnog standarda građana grada Ivanca i dalje mogla održati i istovremeno, na zadovoljavajućoj razini osigurati održavanje komunalne infrastrukture, neophodno je korigirati dosad važeće </w:t>
      </w:r>
      <w:r w:rsidR="00ED055D">
        <w:t>vrijednosti boda</w:t>
      </w:r>
      <w:r w:rsidR="001362B3">
        <w:t xml:space="preserve"> za izračun komunalne naknade</w:t>
      </w:r>
      <w:r w:rsidR="00BA1B31">
        <w:t xml:space="preserve"> </w:t>
      </w:r>
      <w:r w:rsidR="00ED055D">
        <w:t>i</w:t>
      </w:r>
      <w:r w:rsidR="00D34AF7">
        <w:t xml:space="preserve"> pojedine</w:t>
      </w:r>
      <w:r w:rsidR="00ED055D">
        <w:t xml:space="preserve"> </w:t>
      </w:r>
      <w:r w:rsidR="00BA1B31">
        <w:t>koeficijente namjene.</w:t>
      </w:r>
      <w:r w:rsidR="00D34AF7">
        <w:t xml:space="preserve"> </w:t>
      </w:r>
    </w:p>
    <w:p w:rsidR="00F370D6" w:rsidRDefault="001362B3" w:rsidP="00D46850">
      <w:pPr>
        <w:autoSpaceDE w:val="0"/>
        <w:autoSpaceDN w:val="0"/>
        <w:adjustRightInd w:val="0"/>
        <w:ind w:firstLine="708"/>
        <w:jc w:val="both"/>
      </w:pPr>
      <w:r>
        <w:t>S</w:t>
      </w:r>
      <w:r w:rsidR="00B82D0D">
        <w:t>vjesni činjenice</w:t>
      </w:r>
      <w:r>
        <w:t xml:space="preserve"> da proizvodne djelatnosti još uvijek trpe od posljedica recesije, </w:t>
      </w:r>
      <w:r w:rsidR="00BA1B31">
        <w:t>predlaže</w:t>
      </w:r>
      <w:r w:rsidR="00D34AF7">
        <w:t xml:space="preserve"> se</w:t>
      </w:r>
      <w:r w:rsidR="00BA1B31">
        <w:t xml:space="preserve"> promjena </w:t>
      </w:r>
      <w:r w:rsidR="00B82D0D">
        <w:t xml:space="preserve">samo dvaju od ukupno devet koeficijenata namjene i to </w:t>
      </w:r>
      <w:r w:rsidR="00BA1B31">
        <w:t>za poslovni prostor koji</w:t>
      </w:r>
      <w:r w:rsidR="00B82D0D">
        <w:t xml:space="preserve"> služi za ostale djelatnosti s</w:t>
      </w:r>
      <w:r w:rsidR="004D5CD7">
        <w:t xml:space="preserve"> 3,70 na 5,00 te za građevinsko zemljište koje služi u svrhu obavljanja ostalih poslov</w:t>
      </w:r>
      <w:r w:rsidR="00B82D0D">
        <w:t>nih djelatnosti sa</w:t>
      </w:r>
      <w:r w:rsidR="004D5CD7">
        <w:t xml:space="preserve"> 0,50 na 0,67. Ostali koeficijenti namjene ostali bi </w:t>
      </w:r>
      <w:r w:rsidR="00B82D0D">
        <w:t>nepromijenjeni.</w:t>
      </w:r>
    </w:p>
    <w:p w:rsidR="00BA1B31" w:rsidRPr="007C0DC4" w:rsidRDefault="00BA1B31" w:rsidP="00625A00">
      <w:pPr>
        <w:autoSpaceDE w:val="0"/>
        <w:autoSpaceDN w:val="0"/>
        <w:adjustRightInd w:val="0"/>
        <w:ind w:firstLine="708"/>
        <w:jc w:val="both"/>
      </w:pPr>
    </w:p>
    <w:p w:rsidR="00D34AF7" w:rsidRPr="00D34AF7" w:rsidRDefault="00625A00" w:rsidP="00D34AF7">
      <w:pPr>
        <w:autoSpaceDE w:val="0"/>
        <w:autoSpaceDN w:val="0"/>
        <w:adjustRightInd w:val="0"/>
        <w:jc w:val="both"/>
      </w:pPr>
      <w:r w:rsidRPr="007C0DC4">
        <w:tab/>
      </w:r>
      <w:r w:rsidR="00B82D0D">
        <w:t>Za</w:t>
      </w:r>
      <w:r w:rsidR="00D34AF7" w:rsidRPr="00B82D0D">
        <w:rPr>
          <w:b/>
        </w:rPr>
        <w:t xml:space="preserve"> čišćenje i održavanje javnih površina</w:t>
      </w:r>
      <w:r w:rsidR="00D34AF7" w:rsidRPr="00D34AF7">
        <w:t xml:space="preserve"> 2001. godine bilo je potrebno 255.000,00 kuna</w:t>
      </w:r>
      <w:r w:rsidR="00B82D0D">
        <w:t>. U 2014. godini</w:t>
      </w:r>
      <w:r w:rsidR="00D34AF7" w:rsidRPr="00D34AF7">
        <w:t xml:space="preserve"> za čišćenje i održavanje površina </w:t>
      </w:r>
      <w:r w:rsidR="00B82D0D">
        <w:t>izdvojeno je</w:t>
      </w:r>
      <w:r w:rsidR="00D34AF7" w:rsidRPr="00D34AF7">
        <w:t xml:space="preserve"> 696.085,03 kn, što znači da se radi </w:t>
      </w:r>
      <w:r w:rsidR="00B82D0D">
        <w:t>o gotovo trostruko većem iznosu.</w:t>
      </w:r>
      <w:r w:rsidR="00D34AF7" w:rsidRPr="00D34AF7">
        <w:t xml:space="preserve"> Iznos potrebnih sredstava za </w:t>
      </w:r>
      <w:r w:rsidR="00D34AF7" w:rsidRPr="00B82D0D">
        <w:rPr>
          <w:b/>
        </w:rPr>
        <w:t>održavanje nerazvrstanih cesta i zimsku službu</w:t>
      </w:r>
      <w:r w:rsidR="00D34AF7" w:rsidRPr="00D34AF7">
        <w:t xml:space="preserve"> iz godine u godinu varira, ali prema podacima unazad sedam godina</w:t>
      </w:r>
      <w:r w:rsidR="00B82D0D">
        <w:t>,</w:t>
      </w:r>
      <w:r w:rsidR="00D34AF7" w:rsidRPr="00D34AF7">
        <w:t xml:space="preserve"> za održavanje je potrebno osigurati preko milijun kuna. </w:t>
      </w:r>
    </w:p>
    <w:p w:rsidR="001C24D0" w:rsidRDefault="00C35E22" w:rsidP="00101D15">
      <w:pPr>
        <w:autoSpaceDE w:val="0"/>
        <w:autoSpaceDN w:val="0"/>
        <w:adjustRightInd w:val="0"/>
        <w:jc w:val="both"/>
      </w:pPr>
      <w:r>
        <w:t xml:space="preserve">           </w:t>
      </w:r>
      <w:r w:rsidR="00D34AF7" w:rsidRPr="00D34AF7">
        <w:t>Nadalje, osobito na primjeru javne rasvjete, vidljivo je</w:t>
      </w:r>
      <w:r w:rsidR="00B82D0D">
        <w:t xml:space="preserve"> da su se izdaci za</w:t>
      </w:r>
      <w:r w:rsidR="00D34AF7" w:rsidRPr="00D34AF7">
        <w:t xml:space="preserve"> potrošnj</w:t>
      </w:r>
      <w:r w:rsidR="00B82D0D">
        <w:t>u električne energije</w:t>
      </w:r>
      <w:r w:rsidR="00D34AF7" w:rsidRPr="00D34AF7">
        <w:t xml:space="preserve"> i održavanje </w:t>
      </w:r>
      <w:r w:rsidR="00B82D0D">
        <w:t>rasvjete tijekom godina znatno povećali. Uz rast cijena</w:t>
      </w:r>
      <w:r w:rsidR="00D34AF7" w:rsidRPr="00D34AF7">
        <w:t xml:space="preserve"> električne energije </w:t>
      </w:r>
      <w:r w:rsidR="00B82D0D">
        <w:t>povećana je i</w:t>
      </w:r>
      <w:r w:rsidR="00D80F07">
        <w:t xml:space="preserve"> s</w:t>
      </w:r>
      <w:r w:rsidR="00B82D0D">
        <w:t>topa PDV-a pa je</w:t>
      </w:r>
      <w:r w:rsidR="00D34AF7" w:rsidRPr="00D34AF7">
        <w:t xml:space="preserve"> 2009. godine potrošnja električne energije za javnu rasvjetu </w:t>
      </w:r>
      <w:r w:rsidR="00D34AF7" w:rsidRPr="00D34AF7">
        <w:lastRenderedPageBreak/>
        <w:t>iznosila 1.074,260,80</w:t>
      </w:r>
      <w:r w:rsidR="00D80F07">
        <w:t xml:space="preserve"> kn</w:t>
      </w:r>
      <w:r w:rsidR="00D34AF7" w:rsidRPr="00D34AF7">
        <w:t>. Te iste godine uveden je sustav štedne rasvjete na vanjskim područjima grada</w:t>
      </w:r>
      <w:r w:rsidR="00D80F07">
        <w:t xml:space="preserve">. </w:t>
      </w:r>
    </w:p>
    <w:p w:rsidR="00C35E22" w:rsidRDefault="001C24D0" w:rsidP="00A44789">
      <w:pPr>
        <w:autoSpaceDE w:val="0"/>
        <w:autoSpaceDN w:val="0"/>
        <w:adjustRightInd w:val="0"/>
        <w:sectPr w:rsidR="00C35E22" w:rsidSect="007C0DC4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                  </w:t>
      </w:r>
      <w:r w:rsidR="00D80F07">
        <w:t>Iz</w:t>
      </w:r>
      <w:r w:rsidR="00D34AF7" w:rsidRPr="00D34AF7">
        <w:t xml:space="preserve"> priloženih podataka vid</w:t>
      </w:r>
      <w:r w:rsidR="00D80F07">
        <w:t xml:space="preserve">ljivo je da </w:t>
      </w:r>
      <w:r>
        <w:t>je uvođenje</w:t>
      </w:r>
      <w:r w:rsidR="00D80F07">
        <w:t xml:space="preserve"> štedne rasvjete polučilo pozitivne efekte</w:t>
      </w:r>
      <w:r>
        <w:t xml:space="preserve"> te</w:t>
      </w:r>
      <w:r w:rsidR="00D80F07">
        <w:t xml:space="preserve"> da je njome za oko 20 % </w:t>
      </w:r>
      <w:r w:rsidR="00D34AF7" w:rsidRPr="00D34AF7">
        <w:t xml:space="preserve">smanjen iznos potrebnih sredstava za javnu rasvjetu. </w:t>
      </w:r>
      <w:r w:rsidR="00D80F07">
        <w:t>No, kako je u međuvremenu sagrađena nova javna rasvjeta te su montirana nova rasvjetna ti</w:t>
      </w:r>
      <w:r>
        <w:t>jela</w:t>
      </w:r>
      <w:r w:rsidR="00D80F07">
        <w:t xml:space="preserve"> i dalje je za</w:t>
      </w:r>
      <w:r w:rsidR="00D34AF7" w:rsidRPr="00D34AF7">
        <w:t xml:space="preserve"> potrošnju električne energije </w:t>
      </w:r>
      <w:r w:rsidR="00D80F07">
        <w:t xml:space="preserve">svake godine </w:t>
      </w:r>
      <w:r w:rsidR="00D34AF7" w:rsidRPr="00D34AF7">
        <w:t>potrebno osig</w:t>
      </w:r>
      <w:r w:rsidR="00C35E22">
        <w:t xml:space="preserve">urati iznos od oko </w:t>
      </w:r>
      <w:r w:rsidR="00D34AF7" w:rsidRPr="00D34AF7">
        <w:t xml:space="preserve">800.000,00 kn. </w:t>
      </w:r>
      <w:r w:rsidR="00D46850">
        <w:t>(podaci u priloženoj tablici)</w:t>
      </w:r>
      <w:r w:rsidR="00A44789">
        <w:t xml:space="preserve">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"/>
        <w:gridCol w:w="2841"/>
        <w:gridCol w:w="1322"/>
        <w:gridCol w:w="1267"/>
        <w:gridCol w:w="1175"/>
        <w:gridCol w:w="1723"/>
        <w:gridCol w:w="1342"/>
        <w:gridCol w:w="2306"/>
        <w:gridCol w:w="1967"/>
        <w:gridCol w:w="222"/>
      </w:tblGrid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PROGRAM ODRŽAVANJA 2001. – 2014. g. – troškovi u kunama</w:t>
            </w:r>
          </w:p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11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God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823A9">
              <w:rPr>
                <w:b/>
                <w:bCs/>
                <w:sz w:val="18"/>
                <w:szCs w:val="18"/>
              </w:rPr>
              <w:t>ČIŠĆENJE I ODRŽAVANJE JAVNIH POVRŠINA I RADOVI NA UREĐENJU GRADA IVANCA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823A9">
              <w:rPr>
                <w:b/>
                <w:bCs/>
                <w:sz w:val="18"/>
                <w:szCs w:val="18"/>
              </w:rPr>
              <w:t>Održavanje nerazvrstanih cesta + zimska služba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823A9">
              <w:rPr>
                <w:b/>
                <w:bCs/>
                <w:sz w:val="18"/>
                <w:szCs w:val="18"/>
              </w:rPr>
              <w:t>potrošnja električne energije za javnu rasvjetu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823A9">
              <w:rPr>
                <w:b/>
                <w:bCs/>
                <w:sz w:val="18"/>
                <w:szCs w:val="18"/>
              </w:rPr>
              <w:t>UKUPNO PROGRAM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E22" w:rsidRPr="00237464" w:rsidRDefault="00C35E22" w:rsidP="003307E8">
            <w:pPr>
              <w:tabs>
                <w:tab w:val="left" w:pos="1026"/>
              </w:tabs>
              <w:autoSpaceDE w:val="0"/>
              <w:autoSpaceDN w:val="0"/>
              <w:adjustRightInd w:val="0"/>
              <w:ind w:right="129"/>
              <w:rPr>
                <w:b/>
                <w:sz w:val="18"/>
                <w:szCs w:val="18"/>
              </w:rPr>
            </w:pPr>
            <w:r w:rsidRPr="00237464">
              <w:rPr>
                <w:b/>
                <w:sz w:val="18"/>
                <w:szCs w:val="18"/>
              </w:rPr>
              <w:t>PRORAČUNSKI PRIHODI OD POREZA I PRIREZA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23A9">
              <w:rPr>
                <w:b/>
                <w:sz w:val="18"/>
                <w:szCs w:val="18"/>
              </w:rPr>
              <w:t>UKUPNO PRIHOD KOMUNALNE NAKNADE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zimska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Ukupno: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Nije se pratilo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odvojeno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420.540,10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6.832.216,98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1.368.567,83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financijsko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izvršenje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1.430.000,00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7.697.361,00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1.758.714,34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održavanje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zimsku službu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1.430.000,00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7.581.929,00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1.762.386,68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297.008,10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792.203,88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609.615,97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1.908.877,52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8.734.130,39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1.739.335,58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312.591,26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436.188,91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497.301,40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933.490,31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685.274,55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2.095.800,74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8.710.386,89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1.808.643,84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432.535,00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498.111,77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1.061.111,77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740.000,00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2.460.535,00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11.613.967,09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1.653.226,89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601.952,39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855.029,38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55.911,87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910.941,25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910.941,25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2.483.817,24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17.125.108,30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1.869.834,76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814.239,89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1.336.086,98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209.577,00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1.545.663,98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954.354,10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3.751.169,41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19.832.263,50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1.859.404,06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842.174,14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1.787.258,14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1.074.260,80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4.349.960,04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18.012.028,62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1.853.390,87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694.609,96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460.505,28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642.765,90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1.103.271,18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950.811,79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2.952.799,03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15.145.136,40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1.970.668,44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671.383,55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738.820,78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387.817,90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1.126.638,68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939.849,55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3.009.593,85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14.625.727,95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1.865.838,00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672.498,90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745.118,89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335.061,00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1.080.179,89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947.830,29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3.320.366,08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14.733.714,76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1.983.728,56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577.000,34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457.346,19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1.041.578,13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1.498.924,32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869.619,23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3.398.731,30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15.727.461,17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2.344.850,08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44789" w:rsidRPr="006823A9" w:rsidTr="003307E8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2014.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696.085,03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687.739,94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323.812,50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1.011.552,44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844.331,24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2.980.574,40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16.229.906,35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3A9">
              <w:rPr>
                <w:sz w:val="18"/>
                <w:szCs w:val="18"/>
              </w:rPr>
              <w:t> 2.266.919,23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22" w:rsidRPr="006823A9" w:rsidRDefault="00C35E22" w:rsidP="003307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44789" w:rsidRDefault="00A44789" w:rsidP="00D34AF7">
      <w:pPr>
        <w:autoSpaceDE w:val="0"/>
        <w:autoSpaceDN w:val="0"/>
        <w:adjustRightInd w:val="0"/>
        <w:jc w:val="both"/>
        <w:sectPr w:rsidR="00A44789" w:rsidSect="00C35E2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C24D0" w:rsidRDefault="003307E8" w:rsidP="003307E8">
      <w:pPr>
        <w:autoSpaceDE w:val="0"/>
        <w:autoSpaceDN w:val="0"/>
        <w:adjustRightInd w:val="0"/>
        <w:jc w:val="both"/>
      </w:pPr>
      <w:r>
        <w:lastRenderedPageBreak/>
        <w:t xml:space="preserve">             </w:t>
      </w:r>
      <w:r w:rsidR="00D80F07">
        <w:t xml:space="preserve">Iz navedenih podataka </w:t>
      </w:r>
      <w:r w:rsidRPr="007C0DC4">
        <w:t xml:space="preserve">vidljivo je da </w:t>
      </w:r>
      <w:r w:rsidR="00D80F07">
        <w:t xml:space="preserve">je zbog rasta komunalnog standarda građana došlo do povećanja opsega </w:t>
      </w:r>
      <w:r w:rsidR="005E6281">
        <w:t>komunalnih potreba i višestrukog povećanja troškova pojedinih usluga koje se financiraju iz komunalne naknade. Rezultat toga jest pomanjkanje</w:t>
      </w:r>
      <w:r w:rsidRPr="007C0DC4">
        <w:t xml:space="preserve"> namjenskih prihoda za financiranje obavljanja zakonom propisanih komuna</w:t>
      </w:r>
      <w:r>
        <w:t>lnih djelatnosti</w:t>
      </w:r>
      <w:r w:rsidR="005E6281">
        <w:t xml:space="preserve"> pa se zbog toga manjak sredstava svake godine nadoknađuje iz ostalih proračunskih prihoda. </w:t>
      </w:r>
    </w:p>
    <w:p w:rsidR="005E6281" w:rsidRDefault="001C24D0" w:rsidP="003307E8">
      <w:pPr>
        <w:autoSpaceDE w:val="0"/>
        <w:autoSpaceDN w:val="0"/>
        <w:adjustRightInd w:val="0"/>
        <w:jc w:val="both"/>
      </w:pPr>
      <w:r>
        <w:t xml:space="preserve">             </w:t>
      </w:r>
      <w:r w:rsidR="005E6281">
        <w:t>Budući da se u održavanje komunalne infrastrukture, u poslove čišćenje snijega, održavanja javnih i zelenih površina, za javnu rasvjetu i druge potrebe neprestano prelijevaju sredstva koja Grad ubire od poreza</w:t>
      </w:r>
      <w:r w:rsidR="00237464">
        <w:t>, a koja su</w:t>
      </w:r>
      <w:r>
        <w:t xml:space="preserve"> namijenjena financiranju drugih projekata</w:t>
      </w:r>
      <w:r w:rsidR="005E6281">
        <w:t>, to se negativno odražava prvenstveno na mogućnost da porezne prihode Grad usmjeri u kapitalna ulaganja u komunalnu i društvenu infrastrukturu.</w:t>
      </w:r>
    </w:p>
    <w:p w:rsidR="003307E8" w:rsidRDefault="005E6281" w:rsidP="003307E8">
      <w:pPr>
        <w:autoSpaceDE w:val="0"/>
        <w:autoSpaceDN w:val="0"/>
        <w:adjustRightInd w:val="0"/>
        <w:jc w:val="both"/>
      </w:pPr>
      <w:r>
        <w:t xml:space="preserve">            Kraće rečeno, </w:t>
      </w:r>
      <w:r w:rsidR="003307E8" w:rsidRPr="003D3E85">
        <w:t xml:space="preserve">prihod </w:t>
      </w:r>
      <w:r>
        <w:t xml:space="preserve">prikupljen od </w:t>
      </w:r>
      <w:r w:rsidR="003307E8" w:rsidRPr="003D3E85">
        <w:t>komunalne naknade nije do</w:t>
      </w:r>
      <w:r>
        <w:t xml:space="preserve">voljan da bi se iz njega mogao financirati i ostvariti </w:t>
      </w:r>
      <w:r w:rsidR="001C24D0">
        <w:t xml:space="preserve">postojeći </w:t>
      </w:r>
      <w:r>
        <w:t>program održavanja te osigurati komunalni standard na koji su građani navikli. St</w:t>
      </w:r>
      <w:r w:rsidR="003307E8">
        <w:t xml:space="preserve">oga je neophodno izmijeniti Odluku o komunalnoj naknadi, a sve </w:t>
      </w:r>
      <w:r>
        <w:t>u cilju osiguranja</w:t>
      </w:r>
      <w:r w:rsidR="003307E8">
        <w:t xml:space="preserve"> mogućnosti daljnjeg održavanja </w:t>
      </w:r>
      <w:r>
        <w:t xml:space="preserve">dostignute </w:t>
      </w:r>
      <w:r w:rsidR="003307E8">
        <w:t>raz</w:t>
      </w:r>
      <w:r>
        <w:t>ine komunalne infrastrukture na području grada Ivanca.</w:t>
      </w:r>
    </w:p>
    <w:p w:rsidR="00C35E22" w:rsidRDefault="00C35E22" w:rsidP="00104B03">
      <w:pPr>
        <w:autoSpaceDE w:val="0"/>
        <w:autoSpaceDN w:val="0"/>
        <w:adjustRightInd w:val="0"/>
        <w:jc w:val="both"/>
      </w:pPr>
    </w:p>
    <w:tbl>
      <w:tblPr>
        <w:tblStyle w:val="Reetkatablice"/>
        <w:tblpPr w:leftFromText="180" w:rightFromText="180" w:vertAnchor="text" w:horzAnchor="margin" w:tblpY="2627"/>
        <w:tblOverlap w:val="never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07E8" w:rsidRPr="00A73D94" w:rsidTr="00375593">
        <w:tc>
          <w:tcPr>
            <w:tcW w:w="2463" w:type="dxa"/>
          </w:tcPr>
          <w:p w:rsidR="003307E8" w:rsidRPr="00A73D94" w:rsidRDefault="003307E8" w:rsidP="003307E8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63" w:type="dxa"/>
          </w:tcPr>
          <w:p w:rsidR="003307E8" w:rsidRPr="00A73D94" w:rsidRDefault="003307E8" w:rsidP="003307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D94">
              <w:rPr>
                <w:sz w:val="20"/>
                <w:szCs w:val="20"/>
              </w:rPr>
              <w:t>SADAŠNJI RAZREZ</w:t>
            </w:r>
          </w:p>
        </w:tc>
        <w:tc>
          <w:tcPr>
            <w:tcW w:w="2464" w:type="dxa"/>
          </w:tcPr>
          <w:p w:rsidR="003307E8" w:rsidRPr="00A73D94" w:rsidRDefault="003307E8" w:rsidP="003307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3D94">
              <w:rPr>
                <w:sz w:val="20"/>
                <w:szCs w:val="20"/>
              </w:rPr>
              <w:t>POVEĆANJE KEOFICIJENTA NAMJENE ZA OSTALE DJELATNOSTI</w:t>
            </w:r>
          </w:p>
        </w:tc>
        <w:tc>
          <w:tcPr>
            <w:tcW w:w="2464" w:type="dxa"/>
          </w:tcPr>
          <w:p w:rsidR="003307E8" w:rsidRPr="00A73D94" w:rsidRDefault="003307E8" w:rsidP="003307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73D94">
              <w:rPr>
                <w:sz w:val="20"/>
                <w:szCs w:val="20"/>
              </w:rPr>
              <w:t xml:space="preserve">   RAZLIKA</w:t>
            </w:r>
          </w:p>
        </w:tc>
      </w:tr>
      <w:tr w:rsidR="003307E8" w:rsidRPr="00A73D94" w:rsidTr="00375593">
        <w:tc>
          <w:tcPr>
            <w:tcW w:w="2463" w:type="dxa"/>
          </w:tcPr>
          <w:p w:rsidR="003307E8" w:rsidRPr="00A73D94" w:rsidRDefault="003307E8" w:rsidP="003307E8">
            <w:pPr>
              <w:autoSpaceDE w:val="0"/>
              <w:autoSpaceDN w:val="0"/>
              <w:adjustRightInd w:val="0"/>
              <w:jc w:val="both"/>
            </w:pPr>
            <w:r w:rsidRPr="00A73D94">
              <w:t>POSLOVNI PROSTORI</w:t>
            </w:r>
          </w:p>
        </w:tc>
        <w:tc>
          <w:tcPr>
            <w:tcW w:w="2463" w:type="dxa"/>
          </w:tcPr>
          <w:p w:rsidR="003307E8" w:rsidRPr="00A73D94" w:rsidRDefault="003307E8" w:rsidP="003307E8">
            <w:pPr>
              <w:autoSpaceDE w:val="0"/>
              <w:autoSpaceDN w:val="0"/>
              <w:adjustRightInd w:val="0"/>
              <w:jc w:val="both"/>
            </w:pPr>
            <w:r w:rsidRPr="00A73D94">
              <w:t>1.134.899,76 kn/godišnje</w:t>
            </w:r>
          </w:p>
        </w:tc>
        <w:tc>
          <w:tcPr>
            <w:tcW w:w="2464" w:type="dxa"/>
          </w:tcPr>
          <w:p w:rsidR="003307E8" w:rsidRPr="00A73D94" w:rsidRDefault="003307E8" w:rsidP="003307E8">
            <w:pPr>
              <w:autoSpaceDE w:val="0"/>
              <w:autoSpaceDN w:val="0"/>
              <w:adjustRightInd w:val="0"/>
              <w:jc w:val="both"/>
            </w:pPr>
            <w:r w:rsidRPr="00A73D94">
              <w:t>1.752.766,56 kn/godišnje</w:t>
            </w:r>
          </w:p>
        </w:tc>
        <w:tc>
          <w:tcPr>
            <w:tcW w:w="2464" w:type="dxa"/>
          </w:tcPr>
          <w:p w:rsidR="003307E8" w:rsidRPr="00A73D94" w:rsidRDefault="003307E8" w:rsidP="003307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3D94">
              <w:rPr>
                <w:b/>
              </w:rPr>
              <w:t>617.866,80 kn/godišnje</w:t>
            </w:r>
          </w:p>
        </w:tc>
      </w:tr>
    </w:tbl>
    <w:p w:rsidR="003307E8" w:rsidRPr="00A73D94" w:rsidRDefault="003307E8" w:rsidP="003307E8">
      <w:pPr>
        <w:autoSpaceDE w:val="0"/>
        <w:autoSpaceDN w:val="0"/>
        <w:adjustRightInd w:val="0"/>
        <w:jc w:val="both"/>
      </w:pPr>
      <w:r>
        <w:t xml:space="preserve">            </w:t>
      </w:r>
      <w:r w:rsidR="005E6281">
        <w:t>S o</w:t>
      </w:r>
      <w:r>
        <w:t xml:space="preserve">bzirom </w:t>
      </w:r>
      <w:r w:rsidR="005E6281">
        <w:t xml:space="preserve">na to </w:t>
      </w:r>
      <w:r>
        <w:t xml:space="preserve">da se </w:t>
      </w:r>
      <w:r w:rsidR="00342031">
        <w:t xml:space="preserve">u „paketu“ s ovom odlukom ujedno </w:t>
      </w:r>
      <w:r>
        <w:t>predlaže i donošenje nove Odluk</w:t>
      </w:r>
      <w:r w:rsidR="005E6281">
        <w:t>e o visini komunalne naknade u g</w:t>
      </w:r>
      <w:r>
        <w:t xml:space="preserve">radu Ivancu </w:t>
      </w:r>
      <w:r w:rsidR="00342031">
        <w:t>(</w:t>
      </w:r>
      <w:r>
        <w:t>na način da se vrijednost boda za izračun komunalne naknade izmij</w:t>
      </w:r>
      <w:r w:rsidR="00342031">
        <w:t>eni sa 0,32 kn/m2 na 0,40 kn/m2)</w:t>
      </w:r>
      <w:r w:rsidRPr="00A73D94">
        <w:t xml:space="preserve"> </w:t>
      </w:r>
      <w:r>
        <w:t>te također</w:t>
      </w:r>
      <w:r w:rsidR="00342031">
        <w:t>,</w:t>
      </w:r>
      <w:r>
        <w:t xml:space="preserve"> uz prijedlog izmjene Odluke o komunalnoj naknadi u dijelu </w:t>
      </w:r>
      <w:r w:rsidRPr="00A73D94">
        <w:t>koji propisuje koeficijente namjene ovisno o vrsti i namjeni nekretnina</w:t>
      </w:r>
      <w:r w:rsidR="00342031">
        <w:t xml:space="preserve"> (</w:t>
      </w:r>
      <w:r w:rsidRPr="00A73D94">
        <w:t xml:space="preserve">na način da </w:t>
      </w:r>
      <w:r w:rsidR="00342031">
        <w:t>se izmijeni</w:t>
      </w:r>
      <w:r w:rsidRPr="00A73D94">
        <w:t xml:space="preserve"> koeficijent za </w:t>
      </w:r>
      <w:r w:rsidRPr="00A73D94">
        <w:rPr>
          <w:b/>
        </w:rPr>
        <w:t>poslovni prostor</w:t>
      </w:r>
      <w:r w:rsidRPr="00A73D94">
        <w:t xml:space="preserve"> koji služi za ostale djelatnosti sa 3,70 na 5,00</w:t>
      </w:r>
      <w:r w:rsidR="00342031">
        <w:t xml:space="preserve"> te</w:t>
      </w:r>
      <w:r w:rsidRPr="00A73D94">
        <w:t xml:space="preserve"> koeficijent za građevinsko zemljište koje služi u svrhu obavljanja ostalih </w:t>
      </w:r>
      <w:r w:rsidRPr="00A73D94">
        <w:rPr>
          <w:b/>
        </w:rPr>
        <w:t>poslovnih djelatnosti</w:t>
      </w:r>
      <w:r>
        <w:t xml:space="preserve"> s 0,50 na 0,67</w:t>
      </w:r>
      <w:r w:rsidR="00342031">
        <w:t>)</w:t>
      </w:r>
      <w:r>
        <w:t xml:space="preserve">, </w:t>
      </w:r>
      <w:r w:rsidRPr="00A73D94">
        <w:t>u tablici ispod prikazujemo razliku koja bi se ostvarila izmjenom vrijednosti boda na 0,40 kn/m</w:t>
      </w:r>
      <w:r w:rsidRPr="00A73D94">
        <w:rPr>
          <w:vertAlign w:val="superscript"/>
        </w:rPr>
        <w:t xml:space="preserve">2 </w:t>
      </w:r>
      <w:r w:rsidRPr="00A73D94">
        <w:t>te navedenom izmjenom koeficijenata.</w:t>
      </w:r>
    </w:p>
    <w:p w:rsidR="003307E8" w:rsidRDefault="003307E8" w:rsidP="00104B03">
      <w:pPr>
        <w:autoSpaceDE w:val="0"/>
        <w:autoSpaceDN w:val="0"/>
        <w:adjustRightInd w:val="0"/>
        <w:jc w:val="both"/>
      </w:pPr>
    </w:p>
    <w:p w:rsidR="003307E8" w:rsidRDefault="003307E8" w:rsidP="00104B03">
      <w:pPr>
        <w:autoSpaceDE w:val="0"/>
        <w:autoSpaceDN w:val="0"/>
        <w:adjustRightInd w:val="0"/>
        <w:jc w:val="both"/>
      </w:pPr>
    </w:p>
    <w:p w:rsidR="003307E8" w:rsidRDefault="003307E8" w:rsidP="00104B03">
      <w:pPr>
        <w:autoSpaceDE w:val="0"/>
        <w:autoSpaceDN w:val="0"/>
        <w:adjustRightInd w:val="0"/>
        <w:jc w:val="both"/>
      </w:pPr>
    </w:p>
    <w:p w:rsidR="003307E8" w:rsidRDefault="003307E8" w:rsidP="003307E8">
      <w:pPr>
        <w:autoSpaceDE w:val="0"/>
        <w:autoSpaceDN w:val="0"/>
        <w:adjustRightInd w:val="0"/>
        <w:ind w:firstLine="708"/>
        <w:jc w:val="both"/>
      </w:pPr>
      <w:r>
        <w:t>Sukladno</w:t>
      </w:r>
      <w:r w:rsidRPr="00A73D94">
        <w:t xml:space="preserve"> nav</w:t>
      </w:r>
      <w:r w:rsidR="00342031">
        <w:t xml:space="preserve">edenim izračunima, </w:t>
      </w:r>
      <w:r w:rsidRPr="00A73D94">
        <w:t>predloženi</w:t>
      </w:r>
      <w:r w:rsidR="00342031">
        <w:t xml:space="preserve">m izmjenama od strane korisnika poslovnih prostora ostvario bi se </w:t>
      </w:r>
      <w:r w:rsidRPr="00A73D94">
        <w:t xml:space="preserve">prihod komunalne naknade </w:t>
      </w:r>
      <w:r w:rsidR="00342031">
        <w:t xml:space="preserve">veći </w:t>
      </w:r>
      <w:r>
        <w:t>za</w:t>
      </w:r>
      <w:r w:rsidRPr="00A73D94">
        <w:t xml:space="preserve"> 617.866,80 kn</w:t>
      </w:r>
      <w:r w:rsidR="00342031">
        <w:t>.</w:t>
      </w:r>
      <w:r w:rsidRPr="00A73D94">
        <w:t xml:space="preserve"> </w:t>
      </w:r>
      <w:r w:rsidR="00342031">
        <w:t xml:space="preserve">Kako je, gledajući na godišnjoj razini, kumulativno riječ o znatnom dodatnom prihodu od komunalne naknade koji bi omogućio zadržavanje postojeće razine održavanja komunalne infrastrukture i komunalnog standarda građana, dok je, gledajući cjenovne iznose, riječ o svotama koje za obveznike rezultiraju malim razlikama, </w:t>
      </w:r>
      <w:r w:rsidRPr="00A73D94">
        <w:t>predlažemo Gradskom vijeću prihvaćanje takvih izmjena.</w:t>
      </w:r>
    </w:p>
    <w:p w:rsidR="000B75D0" w:rsidRDefault="000B75D0" w:rsidP="003307E8">
      <w:pPr>
        <w:autoSpaceDE w:val="0"/>
        <w:autoSpaceDN w:val="0"/>
        <w:adjustRightInd w:val="0"/>
        <w:ind w:firstLine="708"/>
        <w:jc w:val="both"/>
      </w:pPr>
    </w:p>
    <w:p w:rsidR="000B75D0" w:rsidRPr="000B75D0" w:rsidRDefault="000B75D0" w:rsidP="000B75D0">
      <w:pPr>
        <w:autoSpaceDE w:val="0"/>
        <w:autoSpaceDN w:val="0"/>
        <w:adjustRightInd w:val="0"/>
        <w:ind w:firstLine="708"/>
        <w:jc w:val="both"/>
      </w:pPr>
      <w:r w:rsidRPr="000B75D0">
        <w:t xml:space="preserve">U </w:t>
      </w:r>
      <w:r w:rsidR="00342031">
        <w:t xml:space="preserve">sljedećoj tablici </w:t>
      </w:r>
      <w:r w:rsidRPr="000B75D0">
        <w:t xml:space="preserve">na primjeru obiteljske kuće ili stana, na primjeru poslovnog </w:t>
      </w:r>
      <w:r w:rsidR="00342031">
        <w:t>prostora za ostale djelatnosti</w:t>
      </w:r>
      <w:r w:rsidRPr="000B75D0">
        <w:t xml:space="preserve"> te na primjeru poslovnog prostora za proizvodne djelatnosti </w:t>
      </w:r>
      <w:r w:rsidR="00FF277A">
        <w:t>donosimo simulaciju sadašnjih i predloženih cijena z</w:t>
      </w:r>
      <w:r w:rsidRPr="000B75D0">
        <w:t>a svaki pojedini prostor.</w:t>
      </w:r>
    </w:p>
    <w:p w:rsidR="000B75D0" w:rsidRPr="000B75D0" w:rsidRDefault="000B75D0" w:rsidP="000B75D0">
      <w:pPr>
        <w:autoSpaceDE w:val="0"/>
        <w:autoSpaceDN w:val="0"/>
        <w:adjustRightInd w:val="0"/>
        <w:ind w:firstLine="708"/>
        <w:jc w:val="both"/>
      </w:pPr>
    </w:p>
    <w:p w:rsidR="000B75D0" w:rsidRPr="000B75D0" w:rsidRDefault="000B75D0" w:rsidP="000B75D0">
      <w:pPr>
        <w:autoSpaceDE w:val="0"/>
        <w:autoSpaceDN w:val="0"/>
        <w:adjustRightInd w:val="0"/>
        <w:ind w:firstLine="708"/>
        <w:jc w:val="both"/>
      </w:pPr>
    </w:p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5039"/>
        <w:gridCol w:w="1732"/>
        <w:gridCol w:w="1701"/>
        <w:gridCol w:w="1559"/>
      </w:tblGrid>
      <w:tr w:rsidR="000B75D0" w:rsidRPr="000B75D0" w:rsidTr="00E468A6">
        <w:tc>
          <w:tcPr>
            <w:tcW w:w="5039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732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B75D0">
              <w:t>I.ZONA</w:t>
            </w:r>
            <w:proofErr w:type="spellEnd"/>
          </w:p>
        </w:tc>
        <w:tc>
          <w:tcPr>
            <w:tcW w:w="1701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B75D0">
              <w:t>II.ZONA</w:t>
            </w:r>
            <w:proofErr w:type="spellEnd"/>
          </w:p>
        </w:tc>
        <w:tc>
          <w:tcPr>
            <w:tcW w:w="1559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III. ZONA</w:t>
            </w:r>
          </w:p>
        </w:tc>
      </w:tr>
      <w:tr w:rsidR="000B75D0" w:rsidRPr="000B75D0" w:rsidTr="00E468A6">
        <w:tc>
          <w:tcPr>
            <w:tcW w:w="5039" w:type="dxa"/>
          </w:tcPr>
          <w:p w:rsidR="000B75D0" w:rsidRPr="000B75D0" w:rsidRDefault="000B75D0" w:rsidP="00237464">
            <w:pPr>
              <w:autoSpaceDE w:val="0"/>
              <w:autoSpaceDN w:val="0"/>
              <w:adjustRightInd w:val="0"/>
              <w:jc w:val="both"/>
            </w:pPr>
            <w:r w:rsidRPr="000B75D0">
              <w:t>Obiteljska kuća ili stan (prije izmjene)</w:t>
            </w:r>
          </w:p>
        </w:tc>
        <w:tc>
          <w:tcPr>
            <w:tcW w:w="1732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>
              <w:t>0,32 k</w:t>
            </w:r>
            <w:r w:rsidRPr="000B75D0">
              <w:t>n</w:t>
            </w:r>
          </w:p>
        </w:tc>
        <w:tc>
          <w:tcPr>
            <w:tcW w:w="1701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0,26 kn</w:t>
            </w:r>
          </w:p>
        </w:tc>
        <w:tc>
          <w:tcPr>
            <w:tcW w:w="1559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0,21 kn</w:t>
            </w:r>
          </w:p>
        </w:tc>
      </w:tr>
      <w:tr w:rsidR="000B75D0" w:rsidRPr="000B75D0" w:rsidTr="00E468A6">
        <w:tc>
          <w:tcPr>
            <w:tcW w:w="5039" w:type="dxa"/>
          </w:tcPr>
          <w:p w:rsidR="000B75D0" w:rsidRPr="000B75D0" w:rsidRDefault="000B75D0" w:rsidP="00237464">
            <w:pPr>
              <w:autoSpaceDE w:val="0"/>
              <w:autoSpaceDN w:val="0"/>
              <w:adjustRightInd w:val="0"/>
              <w:jc w:val="both"/>
            </w:pPr>
            <w:r w:rsidRPr="000B75D0">
              <w:t>Obiteljska kuća ili stan (poslije izmjene)</w:t>
            </w:r>
          </w:p>
        </w:tc>
        <w:tc>
          <w:tcPr>
            <w:tcW w:w="1732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>0,40 kn</w:t>
            </w:r>
          </w:p>
        </w:tc>
        <w:tc>
          <w:tcPr>
            <w:tcW w:w="1701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>0,33 kn</w:t>
            </w:r>
          </w:p>
        </w:tc>
        <w:tc>
          <w:tcPr>
            <w:tcW w:w="1559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>0,26 kn</w:t>
            </w:r>
          </w:p>
        </w:tc>
      </w:tr>
      <w:tr w:rsidR="000B75D0" w:rsidRPr="000B75D0" w:rsidTr="00E468A6">
        <w:tc>
          <w:tcPr>
            <w:tcW w:w="5039" w:type="dxa"/>
          </w:tcPr>
          <w:p w:rsidR="000B75D0" w:rsidRPr="000B75D0" w:rsidRDefault="000B75D0" w:rsidP="00237464">
            <w:pPr>
              <w:autoSpaceDE w:val="0"/>
              <w:autoSpaceDN w:val="0"/>
              <w:adjustRightInd w:val="0"/>
              <w:jc w:val="both"/>
            </w:pPr>
            <w:r w:rsidRPr="000B75D0">
              <w:t>Poslovni prostor za ostale djelatnosti (prije izmjene)</w:t>
            </w:r>
          </w:p>
        </w:tc>
        <w:tc>
          <w:tcPr>
            <w:tcW w:w="1732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1,18 kn</w:t>
            </w:r>
          </w:p>
        </w:tc>
        <w:tc>
          <w:tcPr>
            <w:tcW w:w="1701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0,97 kn</w:t>
            </w:r>
          </w:p>
        </w:tc>
        <w:tc>
          <w:tcPr>
            <w:tcW w:w="1559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0,77 kn</w:t>
            </w:r>
          </w:p>
        </w:tc>
      </w:tr>
      <w:tr w:rsidR="000B75D0" w:rsidRPr="000B75D0" w:rsidTr="00E468A6">
        <w:tc>
          <w:tcPr>
            <w:tcW w:w="5039" w:type="dxa"/>
          </w:tcPr>
          <w:p w:rsidR="000B75D0" w:rsidRPr="000B75D0" w:rsidRDefault="000B75D0" w:rsidP="00237464">
            <w:pPr>
              <w:autoSpaceDE w:val="0"/>
              <w:autoSpaceDN w:val="0"/>
              <w:adjustRightInd w:val="0"/>
              <w:jc w:val="both"/>
            </w:pPr>
            <w:r w:rsidRPr="000B75D0">
              <w:t>Poslovni prostor za ostale djelatnosti (poslije izmjene)</w:t>
            </w:r>
          </w:p>
        </w:tc>
        <w:tc>
          <w:tcPr>
            <w:tcW w:w="1732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>2,00 kn</w:t>
            </w:r>
          </w:p>
        </w:tc>
        <w:tc>
          <w:tcPr>
            <w:tcW w:w="1701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>1,64 kn</w:t>
            </w:r>
          </w:p>
        </w:tc>
        <w:tc>
          <w:tcPr>
            <w:tcW w:w="1559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 xml:space="preserve">1,30 kn </w:t>
            </w:r>
          </w:p>
        </w:tc>
      </w:tr>
      <w:tr w:rsidR="000B75D0" w:rsidRPr="000B75D0" w:rsidTr="00E468A6">
        <w:tc>
          <w:tcPr>
            <w:tcW w:w="5039" w:type="dxa"/>
          </w:tcPr>
          <w:p w:rsidR="000B75D0" w:rsidRPr="000B75D0" w:rsidRDefault="000B75D0" w:rsidP="00237464">
            <w:pPr>
              <w:autoSpaceDE w:val="0"/>
              <w:autoSpaceDN w:val="0"/>
              <w:adjustRightInd w:val="0"/>
              <w:jc w:val="both"/>
            </w:pPr>
            <w:r w:rsidRPr="000B75D0">
              <w:lastRenderedPageBreak/>
              <w:t>Poslovni prostor za proizvodne  djelatnosti (prije izmjene)</w:t>
            </w:r>
          </w:p>
        </w:tc>
        <w:tc>
          <w:tcPr>
            <w:tcW w:w="1732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0,39 kn</w:t>
            </w:r>
          </w:p>
        </w:tc>
        <w:tc>
          <w:tcPr>
            <w:tcW w:w="1701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0,39 kn</w:t>
            </w:r>
          </w:p>
        </w:tc>
        <w:tc>
          <w:tcPr>
            <w:tcW w:w="1559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</w:pPr>
            <w:r w:rsidRPr="000B75D0">
              <w:t>0,31 kn</w:t>
            </w:r>
          </w:p>
        </w:tc>
      </w:tr>
      <w:tr w:rsidR="000B75D0" w:rsidRPr="000B75D0" w:rsidTr="00E468A6">
        <w:tc>
          <w:tcPr>
            <w:tcW w:w="5039" w:type="dxa"/>
          </w:tcPr>
          <w:p w:rsidR="000B75D0" w:rsidRPr="000B75D0" w:rsidRDefault="000B75D0" w:rsidP="00237464">
            <w:pPr>
              <w:autoSpaceDE w:val="0"/>
              <w:autoSpaceDN w:val="0"/>
              <w:adjustRightInd w:val="0"/>
              <w:jc w:val="both"/>
            </w:pPr>
            <w:r w:rsidRPr="000B75D0">
              <w:t>Poslovni prostor za proizvodne  djelatnosti (poslije izmjene)</w:t>
            </w:r>
          </w:p>
        </w:tc>
        <w:tc>
          <w:tcPr>
            <w:tcW w:w="1732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>0,49 kn</w:t>
            </w:r>
          </w:p>
        </w:tc>
        <w:tc>
          <w:tcPr>
            <w:tcW w:w="1701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>0,49 kn</w:t>
            </w:r>
          </w:p>
        </w:tc>
        <w:tc>
          <w:tcPr>
            <w:tcW w:w="1559" w:type="dxa"/>
          </w:tcPr>
          <w:p w:rsidR="000B75D0" w:rsidRPr="000B75D0" w:rsidRDefault="000B75D0" w:rsidP="000B75D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75D0">
              <w:rPr>
                <w:b/>
              </w:rPr>
              <w:t>0,39 kn</w:t>
            </w:r>
          </w:p>
        </w:tc>
      </w:tr>
    </w:tbl>
    <w:p w:rsidR="000B75D0" w:rsidRPr="000B75D0" w:rsidRDefault="000B75D0" w:rsidP="000B75D0">
      <w:pPr>
        <w:autoSpaceDE w:val="0"/>
        <w:autoSpaceDN w:val="0"/>
        <w:adjustRightInd w:val="0"/>
        <w:ind w:firstLine="708"/>
        <w:jc w:val="both"/>
      </w:pPr>
    </w:p>
    <w:p w:rsidR="00CE4366" w:rsidRDefault="00CE4366" w:rsidP="000B75D0">
      <w:pPr>
        <w:ind w:firstLine="708"/>
      </w:pPr>
    </w:p>
    <w:p w:rsidR="00CE4366" w:rsidRDefault="00CE4366" w:rsidP="000B75D0">
      <w:pPr>
        <w:ind w:firstLine="708"/>
      </w:pPr>
    </w:p>
    <w:p w:rsidR="00CE4366" w:rsidRDefault="00CE4366" w:rsidP="000B75D0">
      <w:pPr>
        <w:ind w:firstLine="708"/>
      </w:pPr>
    </w:p>
    <w:p w:rsidR="000B75D0" w:rsidRDefault="000B75D0" w:rsidP="000B75D0">
      <w:pPr>
        <w:ind w:firstLine="708"/>
      </w:pPr>
      <w:r>
        <w:t>U priloženoj tablici, radi usporedbe, nalazi se prikaz visine koeficijenta namjene za stanovništvo, proizvodnu djel</w:t>
      </w:r>
      <w:r w:rsidR="00FF277A">
        <w:t>atnost te ostale djelatnosti u g</w:t>
      </w:r>
      <w:r>
        <w:t>radu Ivancu i drugim okolnim gradovima</w:t>
      </w:r>
      <w:r w:rsidR="00FF277A">
        <w:t>. V</w:t>
      </w:r>
      <w:r>
        <w:t xml:space="preserve">idljivo </w:t>
      </w:r>
      <w:r w:rsidR="00FF277A">
        <w:t xml:space="preserve">je </w:t>
      </w:r>
      <w:r>
        <w:t xml:space="preserve">da su koeficijenti namjene </w:t>
      </w:r>
      <w:r w:rsidR="00FF277A">
        <w:t>za izračun komunalne naknade u g</w:t>
      </w:r>
      <w:r>
        <w:t>radu Ivancu među nižima u odnosu na ostale gradove.</w:t>
      </w:r>
    </w:p>
    <w:p w:rsidR="000B75D0" w:rsidRDefault="000B75D0" w:rsidP="000B75D0">
      <w:pPr>
        <w:autoSpaceDE w:val="0"/>
        <w:autoSpaceDN w:val="0"/>
        <w:adjustRightInd w:val="0"/>
        <w:ind w:firstLine="708"/>
        <w:jc w:val="both"/>
      </w:pPr>
    </w:p>
    <w:p w:rsidR="000B75D0" w:rsidRDefault="000B75D0" w:rsidP="003307E8">
      <w:pPr>
        <w:autoSpaceDE w:val="0"/>
        <w:autoSpaceDN w:val="0"/>
        <w:adjustRightInd w:val="0"/>
        <w:ind w:firstLine="708"/>
        <w:jc w:val="both"/>
      </w:pPr>
    </w:p>
    <w:p w:rsidR="000B75D0" w:rsidRPr="000B75D0" w:rsidRDefault="000B75D0" w:rsidP="003307E8">
      <w:pPr>
        <w:autoSpaceDE w:val="0"/>
        <w:autoSpaceDN w:val="0"/>
        <w:adjustRightInd w:val="0"/>
        <w:ind w:firstLine="708"/>
        <w:jc w:val="both"/>
      </w:pPr>
    </w:p>
    <w:p w:rsidR="000B75D0" w:rsidRDefault="000B75D0" w:rsidP="003307E8">
      <w:pPr>
        <w:ind w:firstLine="708"/>
      </w:pPr>
    </w:p>
    <w:tbl>
      <w:tblPr>
        <w:tblpPr w:leftFromText="180" w:rightFromText="180" w:vertAnchor="page" w:horzAnchor="margin" w:tblpY="5581"/>
        <w:tblOverlap w:val="never"/>
        <w:tblW w:w="9501" w:type="dxa"/>
        <w:tblLook w:val="04A0" w:firstRow="1" w:lastRow="0" w:firstColumn="1" w:lastColumn="0" w:noHBand="0" w:noVBand="1"/>
      </w:tblPr>
      <w:tblGrid>
        <w:gridCol w:w="1018"/>
        <w:gridCol w:w="1089"/>
        <w:gridCol w:w="960"/>
        <w:gridCol w:w="1080"/>
        <w:gridCol w:w="960"/>
        <w:gridCol w:w="1130"/>
        <w:gridCol w:w="1152"/>
        <w:gridCol w:w="1152"/>
        <w:gridCol w:w="960"/>
      </w:tblGrid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RED.BR.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GRAD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VISINA KN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STANOV-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PROIZV.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OSTALE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NIŠTVO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DJELATN.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DJELATN.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 xml:space="preserve">1.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IVANEC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 xml:space="preserve">    1,50 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b/>
                <w:bCs/>
                <w:color w:val="000000"/>
              </w:rPr>
            </w:pPr>
            <w:r w:rsidRPr="004D5CD7">
              <w:rPr>
                <w:rFonts w:ascii="Calibri" w:hAnsi="Calibri"/>
                <w:b/>
                <w:bCs/>
                <w:color w:val="000000"/>
              </w:rPr>
              <w:t xml:space="preserve">    3,70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2. 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LEPOGLAVA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0,20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2,00 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3,50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3.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VARAŽDIN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3,00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10,00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4.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proofErr w:type="spellStart"/>
            <w:r w:rsidRPr="004D5CD7">
              <w:rPr>
                <w:rFonts w:ascii="Calibri" w:hAnsi="Calibri"/>
                <w:color w:val="000000"/>
              </w:rPr>
              <w:t>VŽD.TOPLICE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2,00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4,00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5.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LUDBREG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1,50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2,00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6.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NOVI MAROF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1,20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1,50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7.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4,80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6,00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0,15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5,00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10,00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9.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0,32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2,30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4,00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ČAKOVEC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1,00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2,00 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  <w:r w:rsidRPr="004D5CD7">
              <w:rPr>
                <w:rFonts w:ascii="Calibri" w:hAnsi="Calibri"/>
                <w:color w:val="000000"/>
              </w:rPr>
              <w:t xml:space="preserve">    3,00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  <w:tr w:rsidR="00334B8C" w:rsidRPr="004D5CD7" w:rsidTr="00334B8C">
        <w:trPr>
          <w:trHeight w:val="25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8C" w:rsidRPr="004D5CD7" w:rsidRDefault="00334B8C" w:rsidP="00334B8C">
            <w:pPr>
              <w:rPr>
                <w:rFonts w:ascii="Calibri" w:hAnsi="Calibri"/>
                <w:color w:val="000000"/>
              </w:rPr>
            </w:pPr>
          </w:p>
        </w:tc>
      </w:tr>
    </w:tbl>
    <w:p w:rsidR="00334B8C" w:rsidRDefault="00334B8C" w:rsidP="003307E8">
      <w:pPr>
        <w:ind w:firstLine="708"/>
      </w:pPr>
    </w:p>
    <w:p w:rsidR="000B75D0" w:rsidRDefault="000B75D0" w:rsidP="003307E8">
      <w:pPr>
        <w:ind w:firstLine="708"/>
      </w:pPr>
    </w:p>
    <w:p w:rsidR="000B75D0" w:rsidRPr="000B75D0" w:rsidRDefault="000B75D0" w:rsidP="000B75D0">
      <w:pPr>
        <w:ind w:firstLine="708"/>
        <w:rPr>
          <w:bCs/>
        </w:rPr>
      </w:pPr>
      <w:bookmarkStart w:id="0" w:name="_GoBack"/>
      <w:bookmarkEnd w:id="0"/>
    </w:p>
    <w:p w:rsidR="000B75D0" w:rsidRPr="000B75D0" w:rsidRDefault="000B75D0" w:rsidP="000B75D0">
      <w:pPr>
        <w:ind w:firstLine="708"/>
        <w:jc w:val="right"/>
        <w:rPr>
          <w:bCs/>
        </w:rPr>
      </w:pPr>
      <w:r w:rsidRPr="000B75D0">
        <w:rPr>
          <w:b/>
          <w:bCs/>
        </w:rPr>
        <w:t>Upravni odjel za urbanizam,</w:t>
      </w:r>
    </w:p>
    <w:p w:rsidR="000B75D0" w:rsidRPr="000B75D0" w:rsidRDefault="000B75D0" w:rsidP="000B75D0">
      <w:pPr>
        <w:ind w:firstLine="708"/>
        <w:jc w:val="right"/>
      </w:pPr>
      <w:r w:rsidRPr="000B75D0">
        <w:rPr>
          <w:b/>
          <w:bCs/>
        </w:rPr>
        <w:t>komunalne poslove i zaštitu okoliša</w:t>
      </w:r>
    </w:p>
    <w:p w:rsidR="000B75D0" w:rsidRPr="000B75D0" w:rsidRDefault="000B75D0" w:rsidP="000B75D0"/>
    <w:p w:rsidR="000B75D0" w:rsidRPr="000B75D0" w:rsidRDefault="000B75D0" w:rsidP="000B75D0"/>
    <w:p w:rsidR="000B75D0" w:rsidRPr="000B75D0" w:rsidRDefault="000B75D0" w:rsidP="000B75D0"/>
    <w:p w:rsidR="000B75D0" w:rsidRPr="000B75D0" w:rsidRDefault="000B75D0" w:rsidP="000B75D0"/>
    <w:p w:rsidR="000B75D0" w:rsidRPr="000B75D0" w:rsidRDefault="000B75D0" w:rsidP="000B75D0"/>
    <w:p w:rsidR="000B75D0" w:rsidRPr="000B75D0" w:rsidRDefault="000B75D0" w:rsidP="000B75D0"/>
    <w:p w:rsidR="000B75D0" w:rsidRPr="000B75D0" w:rsidRDefault="000B75D0" w:rsidP="000B75D0">
      <w:pPr>
        <w:ind w:firstLine="708"/>
      </w:pPr>
    </w:p>
    <w:p w:rsidR="000B75D0" w:rsidRPr="000B75D0" w:rsidRDefault="000B75D0" w:rsidP="000B75D0">
      <w:pPr>
        <w:ind w:firstLine="708"/>
      </w:pPr>
    </w:p>
    <w:p w:rsidR="000B75D0" w:rsidRPr="000B75D0" w:rsidRDefault="000B75D0" w:rsidP="000B75D0"/>
    <w:p w:rsidR="003307E8" w:rsidRPr="000B75D0" w:rsidRDefault="003307E8" w:rsidP="000B75D0">
      <w:pPr>
        <w:sectPr w:rsidR="003307E8" w:rsidRPr="000B75D0" w:rsidSect="00A447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D3E85" w:rsidRPr="00A73D94" w:rsidRDefault="003D3E85" w:rsidP="00334B8C">
      <w:pPr>
        <w:autoSpaceDE w:val="0"/>
        <w:autoSpaceDN w:val="0"/>
        <w:adjustRightInd w:val="0"/>
        <w:jc w:val="both"/>
      </w:pPr>
    </w:p>
    <w:p w:rsidR="00A73D94" w:rsidRDefault="00A73D94" w:rsidP="00D34AF7">
      <w:pPr>
        <w:autoSpaceDE w:val="0"/>
        <w:autoSpaceDN w:val="0"/>
        <w:adjustRightInd w:val="0"/>
        <w:ind w:firstLine="708"/>
        <w:jc w:val="both"/>
      </w:pPr>
    </w:p>
    <w:p w:rsidR="00A73D94" w:rsidRDefault="00A73D94" w:rsidP="00D34AF7">
      <w:pPr>
        <w:autoSpaceDE w:val="0"/>
        <w:autoSpaceDN w:val="0"/>
        <w:adjustRightInd w:val="0"/>
        <w:ind w:firstLine="708"/>
        <w:jc w:val="both"/>
      </w:pPr>
    </w:p>
    <w:p w:rsidR="00930CD6" w:rsidRDefault="00930CD6" w:rsidP="00D34AF7">
      <w:pPr>
        <w:autoSpaceDE w:val="0"/>
        <w:autoSpaceDN w:val="0"/>
        <w:adjustRightInd w:val="0"/>
        <w:ind w:firstLine="708"/>
        <w:jc w:val="both"/>
      </w:pPr>
    </w:p>
    <w:p w:rsidR="00930CD6" w:rsidRDefault="00930CD6" w:rsidP="00D34AF7">
      <w:pPr>
        <w:autoSpaceDE w:val="0"/>
        <w:autoSpaceDN w:val="0"/>
        <w:adjustRightInd w:val="0"/>
        <w:ind w:firstLine="708"/>
        <w:jc w:val="both"/>
      </w:pPr>
    </w:p>
    <w:p w:rsidR="00930CD6" w:rsidRDefault="00930CD6" w:rsidP="00D34AF7">
      <w:pPr>
        <w:autoSpaceDE w:val="0"/>
        <w:autoSpaceDN w:val="0"/>
        <w:adjustRightInd w:val="0"/>
        <w:ind w:firstLine="708"/>
        <w:jc w:val="both"/>
      </w:pPr>
    </w:p>
    <w:p w:rsidR="00930CD6" w:rsidRDefault="00930CD6" w:rsidP="00D34AF7">
      <w:pPr>
        <w:autoSpaceDE w:val="0"/>
        <w:autoSpaceDN w:val="0"/>
        <w:adjustRightInd w:val="0"/>
        <w:ind w:firstLine="708"/>
        <w:jc w:val="both"/>
      </w:pPr>
    </w:p>
    <w:p w:rsidR="00930CD6" w:rsidRDefault="00930CD6" w:rsidP="00D34AF7">
      <w:pPr>
        <w:autoSpaceDE w:val="0"/>
        <w:autoSpaceDN w:val="0"/>
        <w:adjustRightInd w:val="0"/>
        <w:ind w:firstLine="708"/>
        <w:jc w:val="both"/>
      </w:pPr>
    </w:p>
    <w:p w:rsidR="00930CD6" w:rsidRDefault="00930CD6" w:rsidP="00D34AF7">
      <w:pPr>
        <w:autoSpaceDE w:val="0"/>
        <w:autoSpaceDN w:val="0"/>
        <w:adjustRightInd w:val="0"/>
        <w:ind w:firstLine="708"/>
        <w:jc w:val="both"/>
      </w:pPr>
    </w:p>
    <w:p w:rsidR="00930CD6" w:rsidRDefault="00930CD6" w:rsidP="00D34AF7">
      <w:pPr>
        <w:autoSpaceDE w:val="0"/>
        <w:autoSpaceDN w:val="0"/>
        <w:adjustRightInd w:val="0"/>
        <w:ind w:firstLine="708"/>
        <w:jc w:val="both"/>
      </w:pPr>
    </w:p>
    <w:p w:rsidR="00A73D94" w:rsidRDefault="00A73D94" w:rsidP="00D34AF7">
      <w:pPr>
        <w:autoSpaceDE w:val="0"/>
        <w:autoSpaceDN w:val="0"/>
        <w:adjustRightInd w:val="0"/>
        <w:ind w:firstLine="708"/>
        <w:jc w:val="both"/>
      </w:pPr>
    </w:p>
    <w:p w:rsidR="00A73D94" w:rsidRDefault="00A73D94" w:rsidP="00D34AF7">
      <w:pPr>
        <w:autoSpaceDE w:val="0"/>
        <w:autoSpaceDN w:val="0"/>
        <w:adjustRightInd w:val="0"/>
        <w:ind w:firstLine="708"/>
        <w:jc w:val="both"/>
      </w:pPr>
    </w:p>
    <w:p w:rsidR="00A73D94" w:rsidRDefault="00A73D94" w:rsidP="00D34AF7">
      <w:pPr>
        <w:autoSpaceDE w:val="0"/>
        <w:autoSpaceDN w:val="0"/>
        <w:adjustRightInd w:val="0"/>
        <w:ind w:firstLine="708"/>
        <w:jc w:val="both"/>
      </w:pPr>
    </w:p>
    <w:p w:rsidR="00A73D94" w:rsidRPr="007C0DC4" w:rsidRDefault="00A73D94" w:rsidP="00D34AF7">
      <w:pPr>
        <w:autoSpaceDE w:val="0"/>
        <w:autoSpaceDN w:val="0"/>
        <w:adjustRightInd w:val="0"/>
        <w:ind w:firstLine="708"/>
        <w:jc w:val="both"/>
      </w:pPr>
    </w:p>
    <w:p w:rsidR="00D34AF7" w:rsidRDefault="00D34AF7" w:rsidP="00ED055D">
      <w:pPr>
        <w:ind w:firstLine="708"/>
      </w:pPr>
    </w:p>
    <w:p w:rsidR="00D34AF7" w:rsidRDefault="00D34AF7" w:rsidP="00ED055D">
      <w:pPr>
        <w:ind w:firstLine="708"/>
      </w:pPr>
    </w:p>
    <w:p w:rsidR="00D34AF7" w:rsidRDefault="00D34AF7" w:rsidP="00ED055D">
      <w:pPr>
        <w:ind w:firstLine="708"/>
      </w:pPr>
    </w:p>
    <w:tbl>
      <w:tblPr>
        <w:tblpPr w:leftFromText="180" w:rightFromText="180" w:vertAnchor="page" w:horzAnchor="margin" w:tblpY="11041"/>
        <w:tblW w:w="10906" w:type="dxa"/>
        <w:tblLook w:val="04A0" w:firstRow="1" w:lastRow="0" w:firstColumn="1" w:lastColumn="0" w:noHBand="0" w:noVBand="1"/>
      </w:tblPr>
      <w:tblGrid>
        <w:gridCol w:w="672"/>
        <w:gridCol w:w="7994"/>
        <w:gridCol w:w="916"/>
        <w:gridCol w:w="1088"/>
        <w:gridCol w:w="236"/>
      </w:tblGrid>
      <w:tr w:rsidR="00D46850" w:rsidRPr="004F0B2A" w:rsidTr="00D46850">
        <w:trPr>
          <w:trHeight w:val="42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0" w:rsidRDefault="00D46850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Default="00A73D94" w:rsidP="00D46850">
            <w:pPr>
              <w:rPr>
                <w:rFonts w:ascii="Calibri" w:hAnsi="Calibri"/>
                <w:color w:val="000000"/>
              </w:rPr>
            </w:pPr>
          </w:p>
          <w:p w:rsidR="00A73D94" w:rsidRPr="004F0B2A" w:rsidRDefault="00A73D94" w:rsidP="00D468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850" w:rsidRPr="004F0B2A" w:rsidRDefault="00D46850" w:rsidP="00D4685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0" w:rsidRPr="004F0B2A" w:rsidRDefault="00D46850" w:rsidP="00D468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0" w:rsidRPr="004F0B2A" w:rsidRDefault="00D46850" w:rsidP="00D468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0" w:rsidRPr="004F0B2A" w:rsidRDefault="00D46850" w:rsidP="00D46850">
            <w:pPr>
              <w:rPr>
                <w:rFonts w:ascii="Calibri" w:hAnsi="Calibri"/>
                <w:color w:val="000000"/>
              </w:rPr>
            </w:pPr>
          </w:p>
        </w:tc>
      </w:tr>
      <w:tr w:rsidR="00D46850" w:rsidRPr="004F0B2A" w:rsidTr="00D46850">
        <w:trPr>
          <w:trHeight w:val="42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D94" w:rsidRDefault="00A73D94"/>
          <w:p w:rsidR="00A73D94" w:rsidRDefault="00A73D94"/>
          <w:p w:rsidR="00D46850" w:rsidRPr="004F0B2A" w:rsidRDefault="00D46850" w:rsidP="00D468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850" w:rsidRPr="004F0B2A" w:rsidRDefault="00D46850" w:rsidP="00D4685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0" w:rsidRPr="004F0B2A" w:rsidRDefault="00D46850" w:rsidP="00D468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0" w:rsidRPr="004F0B2A" w:rsidRDefault="00D46850" w:rsidP="00D468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50" w:rsidRPr="004F0B2A" w:rsidRDefault="00D46850" w:rsidP="00D46850">
            <w:pPr>
              <w:rPr>
                <w:rFonts w:ascii="Calibri" w:hAnsi="Calibri"/>
                <w:color w:val="000000"/>
              </w:rPr>
            </w:pPr>
          </w:p>
        </w:tc>
      </w:tr>
    </w:tbl>
    <w:p w:rsidR="00D34AF7" w:rsidRDefault="00D34AF7" w:rsidP="00D34AF7"/>
    <w:sectPr w:rsidR="00D34AF7" w:rsidSect="00A44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ED" w:rsidRDefault="00E317ED" w:rsidP="0052095A">
      <w:r>
        <w:separator/>
      </w:r>
    </w:p>
  </w:endnote>
  <w:endnote w:type="continuationSeparator" w:id="0">
    <w:p w:rsidR="00E317ED" w:rsidRDefault="00E317ED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5" w:rsidRDefault="00DA7CD5">
    <w:pPr>
      <w:pStyle w:val="Podnoje"/>
      <w:jc w:val="right"/>
    </w:pPr>
  </w:p>
  <w:p w:rsidR="00DA7CD5" w:rsidRDefault="00DA7C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ED" w:rsidRDefault="00E317ED" w:rsidP="0052095A">
      <w:r>
        <w:separator/>
      </w:r>
    </w:p>
  </w:footnote>
  <w:footnote w:type="continuationSeparator" w:id="0">
    <w:p w:rsidR="00E317ED" w:rsidRDefault="00E317ED" w:rsidP="0052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370"/>
    <w:multiLevelType w:val="hybridMultilevel"/>
    <w:tmpl w:val="1BD04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296"/>
    <w:multiLevelType w:val="hybridMultilevel"/>
    <w:tmpl w:val="39B8A6E0"/>
    <w:lvl w:ilvl="0" w:tplc="F4AE804C">
      <w:start w:val="1"/>
      <w:numFmt w:val="lowerLetter"/>
      <w:lvlText w:val="%1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">
    <w:nsid w:val="0A713EA6"/>
    <w:multiLevelType w:val="hybridMultilevel"/>
    <w:tmpl w:val="2BDAB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B05"/>
    <w:multiLevelType w:val="hybridMultilevel"/>
    <w:tmpl w:val="F9480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6459"/>
    <w:multiLevelType w:val="hybridMultilevel"/>
    <w:tmpl w:val="637C2096"/>
    <w:lvl w:ilvl="0" w:tplc="123CF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421F35"/>
    <w:multiLevelType w:val="hybridMultilevel"/>
    <w:tmpl w:val="89B0C21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2A4E3520"/>
    <w:multiLevelType w:val="hybridMultilevel"/>
    <w:tmpl w:val="9B4C5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D15"/>
    <w:multiLevelType w:val="hybridMultilevel"/>
    <w:tmpl w:val="E8D8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703D0"/>
    <w:multiLevelType w:val="hybridMultilevel"/>
    <w:tmpl w:val="61C8B832"/>
    <w:lvl w:ilvl="0" w:tplc="DDEEA76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A702005"/>
    <w:multiLevelType w:val="hybridMultilevel"/>
    <w:tmpl w:val="55BA514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>
    <w:nsid w:val="3D0078B6"/>
    <w:multiLevelType w:val="hybridMultilevel"/>
    <w:tmpl w:val="8088829E"/>
    <w:lvl w:ilvl="0" w:tplc="048A5DA4">
      <w:numFmt w:val="bullet"/>
      <w:lvlText w:val="-"/>
      <w:lvlJc w:val="left"/>
      <w:pPr>
        <w:tabs>
          <w:tab w:val="num" w:pos="2301"/>
        </w:tabs>
        <w:ind w:left="2301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1A5209"/>
    <w:multiLevelType w:val="hybridMultilevel"/>
    <w:tmpl w:val="B6043F78"/>
    <w:lvl w:ilvl="0" w:tplc="041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>
    <w:nsid w:val="3F210B39"/>
    <w:multiLevelType w:val="hybridMultilevel"/>
    <w:tmpl w:val="64A8F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02CE5"/>
    <w:multiLevelType w:val="hybridMultilevel"/>
    <w:tmpl w:val="417478D2"/>
    <w:lvl w:ilvl="0" w:tplc="B972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FA4980"/>
    <w:multiLevelType w:val="hybridMultilevel"/>
    <w:tmpl w:val="DC4CD572"/>
    <w:lvl w:ilvl="0" w:tplc="672204A0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67D4A"/>
    <w:multiLevelType w:val="hybridMultilevel"/>
    <w:tmpl w:val="5FD61F04"/>
    <w:lvl w:ilvl="0" w:tplc="A19EB75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8015B56"/>
    <w:multiLevelType w:val="singleLevel"/>
    <w:tmpl w:val="3DCC425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87007B4"/>
    <w:multiLevelType w:val="singleLevel"/>
    <w:tmpl w:val="3DCC425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2F22A5A"/>
    <w:multiLevelType w:val="hybridMultilevel"/>
    <w:tmpl w:val="96BC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B52D5"/>
    <w:multiLevelType w:val="hybridMultilevel"/>
    <w:tmpl w:val="3FC26A86"/>
    <w:lvl w:ilvl="0" w:tplc="4134B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D049D"/>
    <w:multiLevelType w:val="hybridMultilevel"/>
    <w:tmpl w:val="78360F2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CC26DE"/>
    <w:multiLevelType w:val="hybridMultilevel"/>
    <w:tmpl w:val="F50429D2"/>
    <w:lvl w:ilvl="0" w:tplc="AEC654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367DF0"/>
    <w:multiLevelType w:val="hybridMultilevel"/>
    <w:tmpl w:val="70C80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B20EC"/>
    <w:multiLevelType w:val="singleLevel"/>
    <w:tmpl w:val="6BE4A18E"/>
    <w:lvl w:ilvl="0">
      <w:start w:val="2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abstractNum w:abstractNumId="24">
    <w:nsid w:val="78F17D80"/>
    <w:multiLevelType w:val="hybridMultilevel"/>
    <w:tmpl w:val="5266A6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217CB"/>
    <w:multiLevelType w:val="hybridMultilevel"/>
    <w:tmpl w:val="A5646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C30FC"/>
    <w:multiLevelType w:val="hybridMultilevel"/>
    <w:tmpl w:val="9FD2A498"/>
    <w:lvl w:ilvl="0" w:tplc="C9F66B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3247C"/>
    <w:multiLevelType w:val="singleLevel"/>
    <w:tmpl w:val="6BE4A18E"/>
    <w:lvl w:ilvl="0">
      <w:start w:val="21"/>
      <w:numFmt w:val="bullet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22"/>
  </w:num>
  <w:num w:numId="8">
    <w:abstractNumId w:val="0"/>
  </w:num>
  <w:num w:numId="9">
    <w:abstractNumId w:val="12"/>
  </w:num>
  <w:num w:numId="10">
    <w:abstractNumId w:val="25"/>
  </w:num>
  <w:num w:numId="11">
    <w:abstractNumId w:val="2"/>
  </w:num>
  <w:num w:numId="12">
    <w:abstractNumId w:val="7"/>
  </w:num>
  <w:num w:numId="13">
    <w:abstractNumId w:val="6"/>
  </w:num>
  <w:num w:numId="14">
    <w:abstractNumId w:val="18"/>
  </w:num>
  <w:num w:numId="15">
    <w:abstractNumId w:val="26"/>
  </w:num>
  <w:num w:numId="16">
    <w:abstractNumId w:val="11"/>
  </w:num>
  <w:num w:numId="17">
    <w:abstractNumId w:val="5"/>
  </w:num>
  <w:num w:numId="18">
    <w:abstractNumId w:val="1"/>
  </w:num>
  <w:num w:numId="19">
    <w:abstractNumId w:val="9"/>
  </w:num>
  <w:num w:numId="20">
    <w:abstractNumId w:val="24"/>
  </w:num>
  <w:num w:numId="21">
    <w:abstractNumId w:val="4"/>
  </w:num>
  <w:num w:numId="22">
    <w:abstractNumId w:val="20"/>
  </w:num>
  <w:num w:numId="23">
    <w:abstractNumId w:val="19"/>
  </w:num>
  <w:num w:numId="24">
    <w:abstractNumId w:val="27"/>
  </w:num>
  <w:num w:numId="25">
    <w:abstractNumId w:val="23"/>
  </w:num>
  <w:num w:numId="26">
    <w:abstractNumId w:val="1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013B6"/>
    <w:rsid w:val="0001554C"/>
    <w:rsid w:val="0002362A"/>
    <w:rsid w:val="000253C1"/>
    <w:rsid w:val="0002588C"/>
    <w:rsid w:val="000270C8"/>
    <w:rsid w:val="000316D1"/>
    <w:rsid w:val="00041FB3"/>
    <w:rsid w:val="00046DFB"/>
    <w:rsid w:val="00051309"/>
    <w:rsid w:val="00053D52"/>
    <w:rsid w:val="00055E26"/>
    <w:rsid w:val="00061F64"/>
    <w:rsid w:val="0006618F"/>
    <w:rsid w:val="00066E11"/>
    <w:rsid w:val="000732EF"/>
    <w:rsid w:val="00075F18"/>
    <w:rsid w:val="0007604E"/>
    <w:rsid w:val="00077088"/>
    <w:rsid w:val="00081EA2"/>
    <w:rsid w:val="00092F6A"/>
    <w:rsid w:val="000A000B"/>
    <w:rsid w:val="000A5B22"/>
    <w:rsid w:val="000A75E8"/>
    <w:rsid w:val="000B6127"/>
    <w:rsid w:val="000B674F"/>
    <w:rsid w:val="000B75D0"/>
    <w:rsid w:val="000D3F84"/>
    <w:rsid w:val="00100AD2"/>
    <w:rsid w:val="00100F0C"/>
    <w:rsid w:val="001012AB"/>
    <w:rsid w:val="00101D15"/>
    <w:rsid w:val="00104B03"/>
    <w:rsid w:val="00110AC2"/>
    <w:rsid w:val="00111112"/>
    <w:rsid w:val="00112238"/>
    <w:rsid w:val="00113FA2"/>
    <w:rsid w:val="001362B3"/>
    <w:rsid w:val="0013736E"/>
    <w:rsid w:val="001374BD"/>
    <w:rsid w:val="001516B5"/>
    <w:rsid w:val="00154A48"/>
    <w:rsid w:val="00161C4D"/>
    <w:rsid w:val="00161F57"/>
    <w:rsid w:val="0016434B"/>
    <w:rsid w:val="00165E4B"/>
    <w:rsid w:val="00170C81"/>
    <w:rsid w:val="001712A4"/>
    <w:rsid w:val="00171752"/>
    <w:rsid w:val="0017621C"/>
    <w:rsid w:val="00180662"/>
    <w:rsid w:val="0018082D"/>
    <w:rsid w:val="00192C72"/>
    <w:rsid w:val="00196A97"/>
    <w:rsid w:val="001A1963"/>
    <w:rsid w:val="001A5150"/>
    <w:rsid w:val="001B365A"/>
    <w:rsid w:val="001B53C4"/>
    <w:rsid w:val="001C24D0"/>
    <w:rsid w:val="001C3145"/>
    <w:rsid w:val="001C4C25"/>
    <w:rsid w:val="001C6661"/>
    <w:rsid w:val="001D003D"/>
    <w:rsid w:val="001D2C2F"/>
    <w:rsid w:val="001D3420"/>
    <w:rsid w:val="001D494C"/>
    <w:rsid w:val="001D7577"/>
    <w:rsid w:val="001E1C82"/>
    <w:rsid w:val="001E4B3A"/>
    <w:rsid w:val="001E7A01"/>
    <w:rsid w:val="001F61A9"/>
    <w:rsid w:val="0021045A"/>
    <w:rsid w:val="00212DDC"/>
    <w:rsid w:val="002154EE"/>
    <w:rsid w:val="002167AF"/>
    <w:rsid w:val="002173E8"/>
    <w:rsid w:val="0022290B"/>
    <w:rsid w:val="002315FC"/>
    <w:rsid w:val="00237464"/>
    <w:rsid w:val="0024002C"/>
    <w:rsid w:val="00242970"/>
    <w:rsid w:val="002433EF"/>
    <w:rsid w:val="002467B2"/>
    <w:rsid w:val="00255BF1"/>
    <w:rsid w:val="002701D0"/>
    <w:rsid w:val="002803E9"/>
    <w:rsid w:val="00281B66"/>
    <w:rsid w:val="00281E19"/>
    <w:rsid w:val="00286FD4"/>
    <w:rsid w:val="002A2EFE"/>
    <w:rsid w:val="002B7B07"/>
    <w:rsid w:val="002C2E3D"/>
    <w:rsid w:val="002C7A65"/>
    <w:rsid w:val="002D06B3"/>
    <w:rsid w:val="002D08C1"/>
    <w:rsid w:val="002D125A"/>
    <w:rsid w:val="002D2E24"/>
    <w:rsid w:val="002D3D8D"/>
    <w:rsid w:val="002D5C84"/>
    <w:rsid w:val="002D6C42"/>
    <w:rsid w:val="002E4C79"/>
    <w:rsid w:val="002E5194"/>
    <w:rsid w:val="002F6A31"/>
    <w:rsid w:val="003051D0"/>
    <w:rsid w:val="003058C8"/>
    <w:rsid w:val="00317ED3"/>
    <w:rsid w:val="00321B46"/>
    <w:rsid w:val="00321C0E"/>
    <w:rsid w:val="0032228A"/>
    <w:rsid w:val="00323F22"/>
    <w:rsid w:val="003307E8"/>
    <w:rsid w:val="00333BCA"/>
    <w:rsid w:val="00334B8C"/>
    <w:rsid w:val="0034171B"/>
    <w:rsid w:val="003418AB"/>
    <w:rsid w:val="00342031"/>
    <w:rsid w:val="003433EB"/>
    <w:rsid w:val="003458E9"/>
    <w:rsid w:val="00351DFC"/>
    <w:rsid w:val="00352084"/>
    <w:rsid w:val="00354868"/>
    <w:rsid w:val="00356B02"/>
    <w:rsid w:val="003574C6"/>
    <w:rsid w:val="00362212"/>
    <w:rsid w:val="003627DA"/>
    <w:rsid w:val="003644F2"/>
    <w:rsid w:val="00367A92"/>
    <w:rsid w:val="003737E5"/>
    <w:rsid w:val="00375593"/>
    <w:rsid w:val="00375B5D"/>
    <w:rsid w:val="00381E68"/>
    <w:rsid w:val="00384D3A"/>
    <w:rsid w:val="00387FD9"/>
    <w:rsid w:val="0039396D"/>
    <w:rsid w:val="003A657D"/>
    <w:rsid w:val="003B0F97"/>
    <w:rsid w:val="003C316D"/>
    <w:rsid w:val="003C3993"/>
    <w:rsid w:val="003C6FCC"/>
    <w:rsid w:val="003C787C"/>
    <w:rsid w:val="003D0C60"/>
    <w:rsid w:val="003D12AB"/>
    <w:rsid w:val="003D1B32"/>
    <w:rsid w:val="003D3E85"/>
    <w:rsid w:val="003D490F"/>
    <w:rsid w:val="003E0C63"/>
    <w:rsid w:val="003E2613"/>
    <w:rsid w:val="003E3AFE"/>
    <w:rsid w:val="003F472D"/>
    <w:rsid w:val="004012DB"/>
    <w:rsid w:val="00402464"/>
    <w:rsid w:val="00407F11"/>
    <w:rsid w:val="00415FBC"/>
    <w:rsid w:val="004247A4"/>
    <w:rsid w:val="00430052"/>
    <w:rsid w:val="004306F6"/>
    <w:rsid w:val="0043128B"/>
    <w:rsid w:val="004347CD"/>
    <w:rsid w:val="00435623"/>
    <w:rsid w:val="00443C5A"/>
    <w:rsid w:val="0044428A"/>
    <w:rsid w:val="004562C9"/>
    <w:rsid w:val="0045684E"/>
    <w:rsid w:val="0046444C"/>
    <w:rsid w:val="0046621B"/>
    <w:rsid w:val="00482AF3"/>
    <w:rsid w:val="00485B23"/>
    <w:rsid w:val="00497F86"/>
    <w:rsid w:val="004A43E0"/>
    <w:rsid w:val="004A6633"/>
    <w:rsid w:val="004B229E"/>
    <w:rsid w:val="004B31C9"/>
    <w:rsid w:val="004B4F9A"/>
    <w:rsid w:val="004C08A6"/>
    <w:rsid w:val="004C16DF"/>
    <w:rsid w:val="004D4F51"/>
    <w:rsid w:val="004D5CD7"/>
    <w:rsid w:val="004E0230"/>
    <w:rsid w:val="004F2EBE"/>
    <w:rsid w:val="004F36AE"/>
    <w:rsid w:val="004F3D9D"/>
    <w:rsid w:val="004F632F"/>
    <w:rsid w:val="00500236"/>
    <w:rsid w:val="00504809"/>
    <w:rsid w:val="00507982"/>
    <w:rsid w:val="00507EE2"/>
    <w:rsid w:val="005105FA"/>
    <w:rsid w:val="005173E5"/>
    <w:rsid w:val="0052095A"/>
    <w:rsid w:val="00520E96"/>
    <w:rsid w:val="00521D65"/>
    <w:rsid w:val="00521FF3"/>
    <w:rsid w:val="00526C73"/>
    <w:rsid w:val="00533413"/>
    <w:rsid w:val="00536849"/>
    <w:rsid w:val="0054109B"/>
    <w:rsid w:val="00544DEA"/>
    <w:rsid w:val="005475CD"/>
    <w:rsid w:val="00547B95"/>
    <w:rsid w:val="00563F69"/>
    <w:rsid w:val="005665B7"/>
    <w:rsid w:val="00566C0C"/>
    <w:rsid w:val="00571201"/>
    <w:rsid w:val="00572881"/>
    <w:rsid w:val="005823CF"/>
    <w:rsid w:val="00584907"/>
    <w:rsid w:val="00584DAF"/>
    <w:rsid w:val="00590093"/>
    <w:rsid w:val="0059198B"/>
    <w:rsid w:val="00592200"/>
    <w:rsid w:val="005A0A32"/>
    <w:rsid w:val="005B03CC"/>
    <w:rsid w:val="005C4B46"/>
    <w:rsid w:val="005C51EB"/>
    <w:rsid w:val="005C605F"/>
    <w:rsid w:val="005D0E77"/>
    <w:rsid w:val="005E1AD8"/>
    <w:rsid w:val="005E1E9B"/>
    <w:rsid w:val="005E1F72"/>
    <w:rsid w:val="005E6281"/>
    <w:rsid w:val="005E62CB"/>
    <w:rsid w:val="005F4C11"/>
    <w:rsid w:val="00600E47"/>
    <w:rsid w:val="00602A5D"/>
    <w:rsid w:val="00614343"/>
    <w:rsid w:val="006213A0"/>
    <w:rsid w:val="00625218"/>
    <w:rsid w:val="00625A00"/>
    <w:rsid w:val="00631EFF"/>
    <w:rsid w:val="00632E1A"/>
    <w:rsid w:val="00637459"/>
    <w:rsid w:val="00641DA8"/>
    <w:rsid w:val="00642854"/>
    <w:rsid w:val="006512E4"/>
    <w:rsid w:val="00654436"/>
    <w:rsid w:val="006560AD"/>
    <w:rsid w:val="00656DC5"/>
    <w:rsid w:val="006617DE"/>
    <w:rsid w:val="00661E88"/>
    <w:rsid w:val="006641A9"/>
    <w:rsid w:val="00671252"/>
    <w:rsid w:val="0067211B"/>
    <w:rsid w:val="006723D4"/>
    <w:rsid w:val="0068066B"/>
    <w:rsid w:val="006823A9"/>
    <w:rsid w:val="00690FD9"/>
    <w:rsid w:val="00692AF7"/>
    <w:rsid w:val="00694DBD"/>
    <w:rsid w:val="00695654"/>
    <w:rsid w:val="00697F70"/>
    <w:rsid w:val="006A3393"/>
    <w:rsid w:val="006B3159"/>
    <w:rsid w:val="006C067F"/>
    <w:rsid w:val="006C1F83"/>
    <w:rsid w:val="006C3630"/>
    <w:rsid w:val="006C6781"/>
    <w:rsid w:val="006C7A59"/>
    <w:rsid w:val="006D1F16"/>
    <w:rsid w:val="006D3B62"/>
    <w:rsid w:val="006D71A5"/>
    <w:rsid w:val="006E23C7"/>
    <w:rsid w:val="006F511D"/>
    <w:rsid w:val="006F5278"/>
    <w:rsid w:val="006F52D5"/>
    <w:rsid w:val="00703288"/>
    <w:rsid w:val="00713604"/>
    <w:rsid w:val="007168F3"/>
    <w:rsid w:val="00727616"/>
    <w:rsid w:val="00730457"/>
    <w:rsid w:val="007336C8"/>
    <w:rsid w:val="00742C76"/>
    <w:rsid w:val="00745F9F"/>
    <w:rsid w:val="0074621D"/>
    <w:rsid w:val="00746598"/>
    <w:rsid w:val="00746ED5"/>
    <w:rsid w:val="00747370"/>
    <w:rsid w:val="00751D6C"/>
    <w:rsid w:val="00760BCB"/>
    <w:rsid w:val="00774F83"/>
    <w:rsid w:val="0078020D"/>
    <w:rsid w:val="007815FA"/>
    <w:rsid w:val="0078167C"/>
    <w:rsid w:val="00793110"/>
    <w:rsid w:val="00795089"/>
    <w:rsid w:val="007A2928"/>
    <w:rsid w:val="007A306D"/>
    <w:rsid w:val="007A3514"/>
    <w:rsid w:val="007A62E9"/>
    <w:rsid w:val="007C0DC4"/>
    <w:rsid w:val="007C63E9"/>
    <w:rsid w:val="007D16E5"/>
    <w:rsid w:val="007D4251"/>
    <w:rsid w:val="007D4DBB"/>
    <w:rsid w:val="007D5A6B"/>
    <w:rsid w:val="007E2CD3"/>
    <w:rsid w:val="007E4293"/>
    <w:rsid w:val="007E7315"/>
    <w:rsid w:val="007F4340"/>
    <w:rsid w:val="007F51E5"/>
    <w:rsid w:val="00801332"/>
    <w:rsid w:val="00803E1A"/>
    <w:rsid w:val="00804C2F"/>
    <w:rsid w:val="008109E8"/>
    <w:rsid w:val="008122F0"/>
    <w:rsid w:val="00815087"/>
    <w:rsid w:val="00816018"/>
    <w:rsid w:val="00816A81"/>
    <w:rsid w:val="008200DA"/>
    <w:rsid w:val="00822E8C"/>
    <w:rsid w:val="0082530A"/>
    <w:rsid w:val="008272C6"/>
    <w:rsid w:val="00831EB3"/>
    <w:rsid w:val="008343F4"/>
    <w:rsid w:val="00842FB6"/>
    <w:rsid w:val="0084366E"/>
    <w:rsid w:val="0084686D"/>
    <w:rsid w:val="00857D6F"/>
    <w:rsid w:val="00867140"/>
    <w:rsid w:val="00874B00"/>
    <w:rsid w:val="00882199"/>
    <w:rsid w:val="00884B35"/>
    <w:rsid w:val="00885C6D"/>
    <w:rsid w:val="008926D8"/>
    <w:rsid w:val="00896EFD"/>
    <w:rsid w:val="008B039A"/>
    <w:rsid w:val="008B40D2"/>
    <w:rsid w:val="008B6DB1"/>
    <w:rsid w:val="008C12E9"/>
    <w:rsid w:val="008C52C5"/>
    <w:rsid w:val="008C746D"/>
    <w:rsid w:val="008D2E03"/>
    <w:rsid w:val="008E1CEF"/>
    <w:rsid w:val="008E41F7"/>
    <w:rsid w:val="0091444E"/>
    <w:rsid w:val="00914FFB"/>
    <w:rsid w:val="00917455"/>
    <w:rsid w:val="00923B28"/>
    <w:rsid w:val="0092578F"/>
    <w:rsid w:val="009259A4"/>
    <w:rsid w:val="00927203"/>
    <w:rsid w:val="00927CF4"/>
    <w:rsid w:val="00930CD6"/>
    <w:rsid w:val="00933C0F"/>
    <w:rsid w:val="00935692"/>
    <w:rsid w:val="00942C0B"/>
    <w:rsid w:val="0094517E"/>
    <w:rsid w:val="00952B2F"/>
    <w:rsid w:val="00972AFE"/>
    <w:rsid w:val="00976092"/>
    <w:rsid w:val="009806DB"/>
    <w:rsid w:val="00987DC8"/>
    <w:rsid w:val="00991958"/>
    <w:rsid w:val="00992058"/>
    <w:rsid w:val="009939AD"/>
    <w:rsid w:val="00996EAE"/>
    <w:rsid w:val="009A408A"/>
    <w:rsid w:val="009B0848"/>
    <w:rsid w:val="009B1D7B"/>
    <w:rsid w:val="009B4433"/>
    <w:rsid w:val="009B5639"/>
    <w:rsid w:val="009C20E0"/>
    <w:rsid w:val="009C3568"/>
    <w:rsid w:val="009C63C5"/>
    <w:rsid w:val="009D06B4"/>
    <w:rsid w:val="009E71E1"/>
    <w:rsid w:val="009E7FDF"/>
    <w:rsid w:val="009F01BF"/>
    <w:rsid w:val="009F2BED"/>
    <w:rsid w:val="009F62E3"/>
    <w:rsid w:val="00A022D0"/>
    <w:rsid w:val="00A03465"/>
    <w:rsid w:val="00A0356A"/>
    <w:rsid w:val="00A06031"/>
    <w:rsid w:val="00A07A6E"/>
    <w:rsid w:val="00A12F42"/>
    <w:rsid w:val="00A1615A"/>
    <w:rsid w:val="00A161A0"/>
    <w:rsid w:val="00A320B7"/>
    <w:rsid w:val="00A4232B"/>
    <w:rsid w:val="00A439F8"/>
    <w:rsid w:val="00A44789"/>
    <w:rsid w:val="00A45698"/>
    <w:rsid w:val="00A53A54"/>
    <w:rsid w:val="00A635BE"/>
    <w:rsid w:val="00A73D94"/>
    <w:rsid w:val="00A73F46"/>
    <w:rsid w:val="00A76448"/>
    <w:rsid w:val="00A83311"/>
    <w:rsid w:val="00A8780E"/>
    <w:rsid w:val="00A87857"/>
    <w:rsid w:val="00A958B8"/>
    <w:rsid w:val="00A96DF7"/>
    <w:rsid w:val="00AA0709"/>
    <w:rsid w:val="00AA35A6"/>
    <w:rsid w:val="00AB264F"/>
    <w:rsid w:val="00AB3F1D"/>
    <w:rsid w:val="00AC2E94"/>
    <w:rsid w:val="00AC5BB1"/>
    <w:rsid w:val="00AC694B"/>
    <w:rsid w:val="00AD1CCC"/>
    <w:rsid w:val="00AD33C5"/>
    <w:rsid w:val="00AD54B1"/>
    <w:rsid w:val="00AD7D1A"/>
    <w:rsid w:val="00AE0E23"/>
    <w:rsid w:val="00AE58EC"/>
    <w:rsid w:val="00AE7039"/>
    <w:rsid w:val="00AF257A"/>
    <w:rsid w:val="00AF5378"/>
    <w:rsid w:val="00B04149"/>
    <w:rsid w:val="00B05742"/>
    <w:rsid w:val="00B071BD"/>
    <w:rsid w:val="00B07AAB"/>
    <w:rsid w:val="00B12CB6"/>
    <w:rsid w:val="00B141E8"/>
    <w:rsid w:val="00B40430"/>
    <w:rsid w:val="00B429F0"/>
    <w:rsid w:val="00B50C76"/>
    <w:rsid w:val="00B5220E"/>
    <w:rsid w:val="00B536CA"/>
    <w:rsid w:val="00B554CF"/>
    <w:rsid w:val="00B645D1"/>
    <w:rsid w:val="00B7443F"/>
    <w:rsid w:val="00B74CE7"/>
    <w:rsid w:val="00B824DA"/>
    <w:rsid w:val="00B82D0D"/>
    <w:rsid w:val="00B832F7"/>
    <w:rsid w:val="00B91251"/>
    <w:rsid w:val="00BA04BB"/>
    <w:rsid w:val="00BA1B31"/>
    <w:rsid w:val="00BA1C40"/>
    <w:rsid w:val="00BA209D"/>
    <w:rsid w:val="00BA466B"/>
    <w:rsid w:val="00BA58EB"/>
    <w:rsid w:val="00BB0A50"/>
    <w:rsid w:val="00BB5D6A"/>
    <w:rsid w:val="00BB6969"/>
    <w:rsid w:val="00BC41D9"/>
    <w:rsid w:val="00BC7988"/>
    <w:rsid w:val="00BD1241"/>
    <w:rsid w:val="00BE6B72"/>
    <w:rsid w:val="00BE7375"/>
    <w:rsid w:val="00BF788B"/>
    <w:rsid w:val="00C01766"/>
    <w:rsid w:val="00C0269A"/>
    <w:rsid w:val="00C03C24"/>
    <w:rsid w:val="00C175EA"/>
    <w:rsid w:val="00C2512B"/>
    <w:rsid w:val="00C26282"/>
    <w:rsid w:val="00C26F6B"/>
    <w:rsid w:val="00C27C7F"/>
    <w:rsid w:val="00C34457"/>
    <w:rsid w:val="00C358A4"/>
    <w:rsid w:val="00C35E22"/>
    <w:rsid w:val="00C4086F"/>
    <w:rsid w:val="00C40F2A"/>
    <w:rsid w:val="00C4499E"/>
    <w:rsid w:val="00C52300"/>
    <w:rsid w:val="00C54096"/>
    <w:rsid w:val="00C56E28"/>
    <w:rsid w:val="00C57AD1"/>
    <w:rsid w:val="00C6358A"/>
    <w:rsid w:val="00C753C0"/>
    <w:rsid w:val="00C8378A"/>
    <w:rsid w:val="00C87936"/>
    <w:rsid w:val="00C936DC"/>
    <w:rsid w:val="00C946EB"/>
    <w:rsid w:val="00CA0210"/>
    <w:rsid w:val="00CA1C8B"/>
    <w:rsid w:val="00CA478A"/>
    <w:rsid w:val="00CA6EA9"/>
    <w:rsid w:val="00CB082E"/>
    <w:rsid w:val="00CC04B8"/>
    <w:rsid w:val="00CC4C4C"/>
    <w:rsid w:val="00CD295B"/>
    <w:rsid w:val="00CE4366"/>
    <w:rsid w:val="00CE5D1D"/>
    <w:rsid w:val="00CF1A59"/>
    <w:rsid w:val="00CF3511"/>
    <w:rsid w:val="00CF5422"/>
    <w:rsid w:val="00CF5C9D"/>
    <w:rsid w:val="00CF7095"/>
    <w:rsid w:val="00CF70F0"/>
    <w:rsid w:val="00CF729D"/>
    <w:rsid w:val="00D1402B"/>
    <w:rsid w:val="00D21D29"/>
    <w:rsid w:val="00D2404F"/>
    <w:rsid w:val="00D33F51"/>
    <w:rsid w:val="00D34AF7"/>
    <w:rsid w:val="00D367FA"/>
    <w:rsid w:val="00D42E43"/>
    <w:rsid w:val="00D457C8"/>
    <w:rsid w:val="00D46850"/>
    <w:rsid w:val="00D5617D"/>
    <w:rsid w:val="00D731B5"/>
    <w:rsid w:val="00D74A20"/>
    <w:rsid w:val="00D80F07"/>
    <w:rsid w:val="00DA0BEB"/>
    <w:rsid w:val="00DA33E5"/>
    <w:rsid w:val="00DA39E8"/>
    <w:rsid w:val="00DA514E"/>
    <w:rsid w:val="00DA7CD5"/>
    <w:rsid w:val="00DB3A7E"/>
    <w:rsid w:val="00DC0717"/>
    <w:rsid w:val="00DC0FF5"/>
    <w:rsid w:val="00DC49ED"/>
    <w:rsid w:val="00DC64A2"/>
    <w:rsid w:val="00DE0D15"/>
    <w:rsid w:val="00DE0F27"/>
    <w:rsid w:val="00DE62E5"/>
    <w:rsid w:val="00DE7DA2"/>
    <w:rsid w:val="00E00076"/>
    <w:rsid w:val="00E011F5"/>
    <w:rsid w:val="00E051D4"/>
    <w:rsid w:val="00E12A26"/>
    <w:rsid w:val="00E23A4D"/>
    <w:rsid w:val="00E24D86"/>
    <w:rsid w:val="00E317ED"/>
    <w:rsid w:val="00E33FC1"/>
    <w:rsid w:val="00E43036"/>
    <w:rsid w:val="00E43347"/>
    <w:rsid w:val="00E448C1"/>
    <w:rsid w:val="00E458D3"/>
    <w:rsid w:val="00E51F7F"/>
    <w:rsid w:val="00E52AEE"/>
    <w:rsid w:val="00E5462C"/>
    <w:rsid w:val="00E62EDF"/>
    <w:rsid w:val="00E71ECB"/>
    <w:rsid w:val="00E72C7B"/>
    <w:rsid w:val="00E7433F"/>
    <w:rsid w:val="00E74B03"/>
    <w:rsid w:val="00E80244"/>
    <w:rsid w:val="00E80D5A"/>
    <w:rsid w:val="00E865FE"/>
    <w:rsid w:val="00EA0049"/>
    <w:rsid w:val="00EB248F"/>
    <w:rsid w:val="00EB32C4"/>
    <w:rsid w:val="00EB53E1"/>
    <w:rsid w:val="00EC083B"/>
    <w:rsid w:val="00EC1333"/>
    <w:rsid w:val="00EC584D"/>
    <w:rsid w:val="00EC6738"/>
    <w:rsid w:val="00EC6C2B"/>
    <w:rsid w:val="00EC6D6F"/>
    <w:rsid w:val="00ED055D"/>
    <w:rsid w:val="00ED0F86"/>
    <w:rsid w:val="00ED2213"/>
    <w:rsid w:val="00ED279E"/>
    <w:rsid w:val="00EE23D0"/>
    <w:rsid w:val="00EE3ADB"/>
    <w:rsid w:val="00EE7373"/>
    <w:rsid w:val="00EE7F2C"/>
    <w:rsid w:val="00EF5591"/>
    <w:rsid w:val="00EF7F15"/>
    <w:rsid w:val="00F0548C"/>
    <w:rsid w:val="00F10318"/>
    <w:rsid w:val="00F2028F"/>
    <w:rsid w:val="00F21534"/>
    <w:rsid w:val="00F30547"/>
    <w:rsid w:val="00F305C8"/>
    <w:rsid w:val="00F3102C"/>
    <w:rsid w:val="00F360CE"/>
    <w:rsid w:val="00F370D6"/>
    <w:rsid w:val="00F40328"/>
    <w:rsid w:val="00F4154B"/>
    <w:rsid w:val="00F42C45"/>
    <w:rsid w:val="00F43F12"/>
    <w:rsid w:val="00F4609D"/>
    <w:rsid w:val="00F509F9"/>
    <w:rsid w:val="00F545E7"/>
    <w:rsid w:val="00F56BDF"/>
    <w:rsid w:val="00F56F04"/>
    <w:rsid w:val="00F64AB2"/>
    <w:rsid w:val="00F839AB"/>
    <w:rsid w:val="00F91755"/>
    <w:rsid w:val="00FB0A69"/>
    <w:rsid w:val="00FB229B"/>
    <w:rsid w:val="00FB3509"/>
    <w:rsid w:val="00FB607E"/>
    <w:rsid w:val="00FB6DE9"/>
    <w:rsid w:val="00FC1AE4"/>
    <w:rsid w:val="00FC1E5D"/>
    <w:rsid w:val="00FC676A"/>
    <w:rsid w:val="00FD4099"/>
    <w:rsid w:val="00FD4DCD"/>
    <w:rsid w:val="00FD7ACF"/>
    <w:rsid w:val="00FD7E7C"/>
    <w:rsid w:val="00FE499C"/>
    <w:rsid w:val="00FF229E"/>
    <w:rsid w:val="00FF277A"/>
    <w:rsid w:val="00FF490D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42F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011F5"/>
    <w:rPr>
      <w:b/>
      <w:bCs/>
    </w:rPr>
  </w:style>
  <w:style w:type="paragraph" w:customStyle="1" w:styleId="Normal2">
    <w:name w:val="Normal2"/>
    <w:basedOn w:val="Normal"/>
    <w:rsid w:val="0094517E"/>
    <w:pPr>
      <w:spacing w:line="360" w:lineRule="auto"/>
      <w:jc w:val="both"/>
    </w:pPr>
    <w:rPr>
      <w:szCs w:val="20"/>
    </w:rPr>
  </w:style>
  <w:style w:type="paragraph" w:styleId="Tijeloteksta3">
    <w:name w:val="Body Text 3"/>
    <w:basedOn w:val="Normal"/>
    <w:link w:val="Tijeloteksta3Char"/>
    <w:rsid w:val="0094517E"/>
    <w:pPr>
      <w:jc w:val="both"/>
    </w:pPr>
    <w:rPr>
      <w:b/>
      <w:szCs w:val="20"/>
    </w:rPr>
  </w:style>
  <w:style w:type="character" w:customStyle="1" w:styleId="Tijeloteksta3Char">
    <w:name w:val="Tijelo teksta 3 Char"/>
    <w:basedOn w:val="Zadanifontodlomka"/>
    <w:link w:val="Tijeloteksta3"/>
    <w:rsid w:val="0094517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1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42F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011F5"/>
    <w:rPr>
      <w:b/>
      <w:bCs/>
    </w:rPr>
  </w:style>
  <w:style w:type="paragraph" w:customStyle="1" w:styleId="Normal2">
    <w:name w:val="Normal2"/>
    <w:basedOn w:val="Normal"/>
    <w:rsid w:val="0094517E"/>
    <w:pPr>
      <w:spacing w:line="360" w:lineRule="auto"/>
      <w:jc w:val="both"/>
    </w:pPr>
    <w:rPr>
      <w:szCs w:val="20"/>
    </w:rPr>
  </w:style>
  <w:style w:type="paragraph" w:styleId="Tijeloteksta3">
    <w:name w:val="Body Text 3"/>
    <w:basedOn w:val="Normal"/>
    <w:link w:val="Tijeloteksta3Char"/>
    <w:rsid w:val="0094517E"/>
    <w:pPr>
      <w:jc w:val="both"/>
    </w:pPr>
    <w:rPr>
      <w:b/>
      <w:szCs w:val="20"/>
    </w:rPr>
  </w:style>
  <w:style w:type="character" w:customStyle="1" w:styleId="Tijeloteksta3Char">
    <w:name w:val="Tijelo teksta 3 Char"/>
    <w:basedOn w:val="Zadanifontodlomka"/>
    <w:link w:val="Tijeloteksta3"/>
    <w:rsid w:val="0094517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7EE4-9383-4E62-988A-FD5EBCF8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Grad Ivanec</cp:lastModifiedBy>
  <cp:revision>5</cp:revision>
  <cp:lastPrinted>2015-11-13T07:50:00Z</cp:lastPrinted>
  <dcterms:created xsi:type="dcterms:W3CDTF">2015-11-13T13:28:00Z</dcterms:created>
  <dcterms:modified xsi:type="dcterms:W3CDTF">2015-11-13T14:20:00Z</dcterms:modified>
</cp:coreProperties>
</file>